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631E" w:rsidRPr="005E2C11" w:rsidRDefault="00794066" w:rsidP="006E631E">
      <w:pPr>
        <w:pStyle w:val="a3"/>
        <w:rPr>
          <w:rFonts w:ascii="Times New Roman" w:eastAsiaTheme="minorHAnsi" w:hAnsi="Times New Roman" w:cs="Times New Roman"/>
          <w:b/>
          <w:sz w:val="28"/>
          <w:szCs w:val="24"/>
        </w:rPr>
      </w:pPr>
      <w:bookmarkStart w:id="0" w:name="_GoBack"/>
      <w:bookmarkEnd w:id="0"/>
      <w:r w:rsidRPr="00794066">
        <w:rPr>
          <w:rFonts w:ascii="Times New Roman" w:eastAsiaTheme="minorHAnsi" w:hAnsi="Times New Roman" w:cs="Times New Roman"/>
          <w:b/>
          <w:sz w:val="28"/>
          <w:szCs w:val="24"/>
        </w:rPr>
        <w:t>Supplementary Appendix</w:t>
      </w:r>
      <w:r w:rsidR="00821A92" w:rsidRPr="005E2C11">
        <w:rPr>
          <w:rFonts w:ascii="Times New Roman" w:eastAsiaTheme="minorHAnsi" w:hAnsi="Times New Roman" w:cs="Times New Roman"/>
          <w:b/>
          <w:sz w:val="28"/>
          <w:szCs w:val="24"/>
        </w:rPr>
        <w:t xml:space="preserve"> </w:t>
      </w:r>
    </w:p>
    <w:p w:rsidR="00496071" w:rsidRPr="005E2C11" w:rsidRDefault="00496071" w:rsidP="00496071">
      <w:pPr>
        <w:pStyle w:val="a3"/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4"/>
          <w:lang w:eastAsia="en-US"/>
        </w:rPr>
      </w:pPr>
    </w:p>
    <w:p w:rsidR="00496071" w:rsidRPr="005E2C11" w:rsidRDefault="00496071" w:rsidP="00496071">
      <w:pPr>
        <w:pStyle w:val="a3"/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4"/>
          <w:lang w:eastAsia="en-US"/>
        </w:rPr>
      </w:pPr>
    </w:p>
    <w:p w:rsidR="003126DF" w:rsidRPr="001E6C4F" w:rsidRDefault="003126DF" w:rsidP="003126DF">
      <w:pPr>
        <w:pStyle w:val="a3"/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4"/>
          <w:lang w:eastAsia="en-US"/>
        </w:rPr>
      </w:pPr>
      <w:r w:rsidRPr="00EE2663">
        <w:rPr>
          <w:rFonts w:ascii="Times New Roman" w:eastAsiaTheme="minorHAnsi" w:hAnsi="Times New Roman" w:cs="Times New Roman"/>
          <w:b/>
          <w:sz w:val="28"/>
          <w:szCs w:val="24"/>
          <w:lang w:eastAsia="en-US"/>
        </w:rPr>
        <w:t>Atrial Fibrillation Ablation in Practice: Assessing CABANA Generalizability</w:t>
      </w:r>
      <w:r w:rsidRPr="001E6C4F" w:rsidDel="00B42E8B">
        <w:rPr>
          <w:rFonts w:ascii="Times New Roman" w:eastAsiaTheme="minorHAnsi" w:hAnsi="Times New Roman" w:cs="Times New Roman"/>
          <w:b/>
          <w:sz w:val="28"/>
          <w:szCs w:val="24"/>
          <w:lang w:eastAsia="en-US"/>
        </w:rPr>
        <w:t xml:space="preserve"> </w:t>
      </w:r>
    </w:p>
    <w:p w:rsidR="00496071" w:rsidRPr="005E2C11" w:rsidRDefault="00496071" w:rsidP="00496071">
      <w:pPr>
        <w:pStyle w:val="a3"/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4"/>
          <w:lang w:eastAsia="en-US"/>
        </w:rPr>
      </w:pPr>
    </w:p>
    <w:p w:rsidR="00496071" w:rsidRPr="005E2C11" w:rsidRDefault="00496071" w:rsidP="00496071">
      <w:pPr>
        <w:pStyle w:val="a3"/>
        <w:spacing w:line="276" w:lineRule="auto"/>
        <w:jc w:val="center"/>
        <w:rPr>
          <w:rFonts w:ascii="Times New Roman" w:eastAsiaTheme="minorHAnsi" w:hAnsi="Times New Roman" w:cs="Times New Roman"/>
          <w:sz w:val="24"/>
          <w:szCs w:val="24"/>
          <w:vertAlign w:val="superscript"/>
          <w:lang w:eastAsia="en-US"/>
        </w:rPr>
      </w:pPr>
      <w:r w:rsidRPr="005E2C11">
        <w:rPr>
          <w:rFonts w:ascii="Times New Roman" w:eastAsiaTheme="minorHAnsi" w:hAnsi="Times New Roman" w:cs="Times New Roman"/>
          <w:sz w:val="24"/>
          <w:szCs w:val="24"/>
          <w:lang w:eastAsia="en-US"/>
        </w:rPr>
        <w:t>Peter A. Noseworthy, M</w:t>
      </w:r>
      <w:r w:rsidR="00134835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  <w:r w:rsidRPr="005E2C11">
        <w:rPr>
          <w:rFonts w:ascii="Times New Roman" w:eastAsiaTheme="minorHAnsi" w:hAnsi="Times New Roman" w:cs="Times New Roman"/>
          <w:sz w:val="24"/>
          <w:szCs w:val="24"/>
          <w:lang w:eastAsia="en-US"/>
        </w:rPr>
        <w:t>D</w:t>
      </w:r>
      <w:r w:rsidR="00134835">
        <w:rPr>
          <w:rFonts w:ascii="Times New Roman" w:eastAsiaTheme="minorHAnsi" w:hAnsi="Times New Roman" w:cs="Times New Roman"/>
          <w:sz w:val="24"/>
          <w:szCs w:val="24"/>
          <w:lang w:eastAsia="en-US"/>
        </w:rPr>
        <w:t>.,</w:t>
      </w:r>
      <w:r w:rsidRPr="005E2C11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5E2C11">
        <w:rPr>
          <w:rFonts w:ascii="Times New Roman" w:hAnsi="Times New Roman" w:cs="Times New Roman"/>
          <w:sz w:val="24"/>
          <w:szCs w:val="24"/>
        </w:rPr>
        <w:t>Bernard J. Gersh, M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B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, Ch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B</w:t>
      </w:r>
      <w:r w:rsidR="00134835">
        <w:rPr>
          <w:rFonts w:ascii="Times New Roman" w:hAnsi="Times New Roman" w:cs="Times New Roman"/>
          <w:sz w:val="24"/>
          <w:szCs w:val="24"/>
        </w:rPr>
        <w:t>., D</w:t>
      </w:r>
      <w:r w:rsidR="0004397E">
        <w:rPr>
          <w:rFonts w:ascii="Times New Roman" w:hAnsi="Times New Roman" w:cs="Times New Roman"/>
          <w:sz w:val="24"/>
          <w:szCs w:val="24"/>
        </w:rPr>
        <w:t>.</w:t>
      </w:r>
      <w:r w:rsidR="00134835">
        <w:rPr>
          <w:rFonts w:ascii="Times New Roman" w:hAnsi="Times New Roman" w:cs="Times New Roman"/>
          <w:sz w:val="24"/>
          <w:szCs w:val="24"/>
        </w:rPr>
        <w:t>Phil</w:t>
      </w:r>
      <w:r w:rsidR="0004397E">
        <w:rPr>
          <w:rFonts w:ascii="Times New Roman" w:hAnsi="Times New Roman" w:cs="Times New Roman"/>
          <w:sz w:val="24"/>
          <w:szCs w:val="24"/>
        </w:rPr>
        <w:t>.,</w:t>
      </w:r>
      <w:r w:rsidR="00134835">
        <w:rPr>
          <w:rFonts w:ascii="Times New Roman" w:hAnsi="Times New Roman" w:cs="Times New Roman"/>
          <w:sz w:val="24"/>
          <w:szCs w:val="24"/>
        </w:rPr>
        <w:t xml:space="preserve"> FRCP,</w:t>
      </w:r>
      <w:r w:rsidRPr="005E2C11">
        <w:rPr>
          <w:rFonts w:ascii="Times New Roman" w:hAnsi="Times New Roman" w:cs="Times New Roman"/>
          <w:sz w:val="24"/>
          <w:szCs w:val="24"/>
        </w:rPr>
        <w:t xml:space="preserve"> David M. Kent, M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D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, C</w:t>
      </w:r>
      <w:r w:rsidR="0004397E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M</w:t>
      </w:r>
      <w:r w:rsidR="0004397E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, M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S</w:t>
      </w:r>
      <w:r w:rsidR="00134835">
        <w:rPr>
          <w:rFonts w:ascii="Times New Roman" w:hAnsi="Times New Roman" w:cs="Times New Roman"/>
          <w:sz w:val="24"/>
          <w:szCs w:val="24"/>
        </w:rPr>
        <w:t>.,</w:t>
      </w:r>
      <w:r w:rsidRPr="005E2C11">
        <w:rPr>
          <w:rFonts w:ascii="Times New Roman" w:hAnsi="Times New Roman" w:cs="Times New Roman"/>
          <w:sz w:val="24"/>
          <w:szCs w:val="24"/>
        </w:rPr>
        <w:t xml:space="preserve"> Jonathan P. Piccini, M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D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, M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H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S</w:t>
      </w:r>
      <w:r w:rsidR="00134835">
        <w:rPr>
          <w:rFonts w:ascii="Times New Roman" w:hAnsi="Times New Roman" w:cs="Times New Roman"/>
          <w:sz w:val="24"/>
          <w:szCs w:val="24"/>
        </w:rPr>
        <w:t>.,</w:t>
      </w:r>
      <w:r w:rsidRPr="005E2C11">
        <w:rPr>
          <w:rFonts w:ascii="Times New Roman" w:hAnsi="Times New Roman" w:cs="Times New Roman"/>
          <w:sz w:val="24"/>
          <w:szCs w:val="24"/>
        </w:rPr>
        <w:t xml:space="preserve"> Douglas Packer, M</w:t>
      </w:r>
      <w:r w:rsidR="00134835">
        <w:rPr>
          <w:rFonts w:ascii="Times New Roman" w:hAnsi="Times New Roman" w:cs="Times New Roman"/>
          <w:sz w:val="24"/>
          <w:szCs w:val="24"/>
        </w:rPr>
        <w:t>.</w:t>
      </w:r>
      <w:r w:rsidRPr="005E2C11">
        <w:rPr>
          <w:rFonts w:ascii="Times New Roman" w:hAnsi="Times New Roman" w:cs="Times New Roman"/>
          <w:sz w:val="24"/>
          <w:szCs w:val="24"/>
        </w:rPr>
        <w:t>D</w:t>
      </w:r>
      <w:r w:rsidR="00134835">
        <w:rPr>
          <w:rFonts w:ascii="Times New Roman" w:hAnsi="Times New Roman" w:cs="Times New Roman"/>
          <w:sz w:val="24"/>
          <w:szCs w:val="24"/>
        </w:rPr>
        <w:t>.,</w:t>
      </w:r>
      <w:r w:rsidRPr="005E2C11">
        <w:rPr>
          <w:rFonts w:ascii="Times New Roman" w:hAnsi="Times New Roman" w:cs="Times New Roman"/>
          <w:sz w:val="24"/>
          <w:szCs w:val="24"/>
        </w:rPr>
        <w:t xml:space="preserve"> </w:t>
      </w:r>
      <w:r w:rsidRPr="005E2C11">
        <w:rPr>
          <w:rFonts w:ascii="Times New Roman" w:eastAsiaTheme="minorHAnsi" w:hAnsi="Times New Roman" w:cs="Times New Roman"/>
          <w:sz w:val="24"/>
          <w:szCs w:val="24"/>
          <w:lang w:eastAsia="en-US"/>
        </w:rPr>
        <w:t>Nilay D. Shah, Ph</w:t>
      </w:r>
      <w:r w:rsidR="00134835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  <w:r w:rsidRPr="005E2C11">
        <w:rPr>
          <w:rFonts w:ascii="Times New Roman" w:eastAsiaTheme="minorHAnsi" w:hAnsi="Times New Roman" w:cs="Times New Roman"/>
          <w:sz w:val="24"/>
          <w:szCs w:val="24"/>
          <w:lang w:eastAsia="en-US"/>
        </w:rPr>
        <w:t>D</w:t>
      </w:r>
      <w:r w:rsidR="00134835">
        <w:rPr>
          <w:rFonts w:ascii="Times New Roman" w:eastAsiaTheme="minorHAnsi" w:hAnsi="Times New Roman" w:cs="Times New Roman"/>
          <w:sz w:val="24"/>
          <w:szCs w:val="24"/>
          <w:lang w:eastAsia="en-US"/>
        </w:rPr>
        <w:t>.,</w:t>
      </w:r>
      <w:r w:rsidRPr="005E2C11">
        <w:rPr>
          <w:rFonts w:ascii="Times New Roman" w:hAnsi="Times New Roman" w:cs="Times New Roman"/>
          <w:sz w:val="24"/>
          <w:szCs w:val="24"/>
        </w:rPr>
        <w:t xml:space="preserve"> </w:t>
      </w:r>
      <w:r w:rsidR="00134835">
        <w:rPr>
          <w:rFonts w:ascii="Times New Roman" w:hAnsi="Times New Roman" w:cs="Times New Roman"/>
          <w:sz w:val="24"/>
          <w:szCs w:val="24"/>
        </w:rPr>
        <w:t xml:space="preserve">and </w:t>
      </w:r>
      <w:r w:rsidRPr="005E2C11">
        <w:rPr>
          <w:rFonts w:ascii="Times New Roman" w:eastAsiaTheme="minorHAnsi" w:hAnsi="Times New Roman" w:cs="Times New Roman"/>
          <w:sz w:val="24"/>
          <w:szCs w:val="24"/>
          <w:lang w:eastAsia="en-US"/>
        </w:rPr>
        <w:t>Xiaoxi Yao, Ph</w:t>
      </w:r>
      <w:r w:rsidR="00134835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  <w:r w:rsidRPr="005E2C11">
        <w:rPr>
          <w:rFonts w:ascii="Times New Roman" w:eastAsiaTheme="minorHAnsi" w:hAnsi="Times New Roman" w:cs="Times New Roman"/>
          <w:sz w:val="24"/>
          <w:szCs w:val="24"/>
          <w:lang w:eastAsia="en-US"/>
        </w:rPr>
        <w:t>D</w:t>
      </w:r>
      <w:r w:rsidR="00134835"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</w:p>
    <w:p w:rsidR="00496071" w:rsidRPr="005E2C11" w:rsidRDefault="00496071" w:rsidP="006E631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631E" w:rsidRPr="005E2C11" w:rsidRDefault="006E631E" w:rsidP="006E631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E2C11">
        <w:rPr>
          <w:rFonts w:ascii="Times New Roman" w:hAnsi="Times New Roman" w:cs="Times New Roman"/>
          <w:b/>
          <w:sz w:val="24"/>
          <w:szCs w:val="24"/>
        </w:rPr>
        <w:t>Table of Contents</w:t>
      </w:r>
    </w:p>
    <w:tbl>
      <w:tblPr>
        <w:tblStyle w:val="a4"/>
        <w:tblW w:w="9378" w:type="dxa"/>
        <w:tblLook w:val="04A0" w:firstRow="1" w:lastRow="0" w:firstColumn="1" w:lastColumn="0" w:noHBand="0" w:noVBand="1"/>
      </w:tblPr>
      <w:tblGrid>
        <w:gridCol w:w="8658"/>
        <w:gridCol w:w="720"/>
      </w:tblGrid>
      <w:tr w:rsidR="006E631E" w:rsidRPr="005E2C11" w:rsidTr="004735A1">
        <w:tc>
          <w:tcPr>
            <w:tcW w:w="8658" w:type="dxa"/>
            <w:vAlign w:val="center"/>
          </w:tcPr>
          <w:p w:rsidR="006E631E" w:rsidRPr="005E2C11" w:rsidRDefault="0097677A" w:rsidP="00F276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b/>
                <w:sz w:val="24"/>
                <w:szCs w:val="24"/>
              </w:rPr>
              <w:t>Table</w:t>
            </w:r>
            <w:r w:rsidR="006E631E" w:rsidRPr="005E2C11"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</w:p>
        </w:tc>
        <w:tc>
          <w:tcPr>
            <w:tcW w:w="720" w:type="dxa"/>
            <w:vAlign w:val="center"/>
          </w:tcPr>
          <w:p w:rsidR="006E631E" w:rsidRPr="005E2C11" w:rsidRDefault="006E631E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6071" w:rsidRPr="005E2C11" w:rsidTr="004735A1">
        <w:tc>
          <w:tcPr>
            <w:tcW w:w="8658" w:type="dxa"/>
            <w:vAlign w:val="center"/>
          </w:tcPr>
          <w:p w:rsidR="00496071" w:rsidRPr="005E2C11" w:rsidRDefault="00496071" w:rsidP="00870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1. Diagnos</w:t>
            </w:r>
            <w:r w:rsidR="00870094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 and Procedure Codes Used to Identify Key Conditions, Procedures, and Outcomes</w:t>
            </w:r>
          </w:p>
        </w:tc>
        <w:tc>
          <w:tcPr>
            <w:tcW w:w="720" w:type="dxa"/>
            <w:vAlign w:val="center"/>
          </w:tcPr>
          <w:p w:rsidR="00496071" w:rsidRPr="005E2C11" w:rsidRDefault="00496071" w:rsidP="006C13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636A1" w:rsidRPr="005E2C11" w:rsidTr="004735A1">
        <w:tc>
          <w:tcPr>
            <w:tcW w:w="8658" w:type="dxa"/>
            <w:vAlign w:val="center"/>
          </w:tcPr>
          <w:p w:rsidR="006636A1" w:rsidRPr="005E2C11" w:rsidRDefault="00496071" w:rsidP="00321314">
            <w:pPr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1055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54818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 Proportion of </w:t>
            </w:r>
            <w:r w:rsidR="00321314">
              <w:rPr>
                <w:rFonts w:ascii="Times New Roman" w:hAnsi="Times New Roman" w:cs="Times New Roman"/>
                <w:sz w:val="24"/>
                <w:szCs w:val="24"/>
              </w:rPr>
              <w:t>Patients Meeting E</w:t>
            </w:r>
            <w:r w:rsidR="00C96BFC">
              <w:rPr>
                <w:rFonts w:ascii="Times New Roman" w:hAnsi="Times New Roman" w:cs="Times New Roman"/>
                <w:sz w:val="24"/>
                <w:szCs w:val="24"/>
              </w:rPr>
              <w:t>ach of the CABANA T</w:t>
            </w:r>
            <w:r w:rsidR="00321314">
              <w:rPr>
                <w:rFonts w:ascii="Times New Roman" w:hAnsi="Times New Roman" w:cs="Times New Roman"/>
                <w:sz w:val="24"/>
                <w:szCs w:val="24"/>
              </w:rPr>
              <w:t>rial Inclusion/E</w:t>
            </w:r>
            <w:r w:rsidR="00C54818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xclusion </w:t>
            </w:r>
            <w:r w:rsidR="00321314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="00C54818" w:rsidRPr="005E2C11">
              <w:rPr>
                <w:rFonts w:ascii="Times New Roman" w:hAnsi="Times New Roman" w:cs="Times New Roman"/>
                <w:sz w:val="24"/>
                <w:szCs w:val="24"/>
              </w:rPr>
              <w:t>riteria</w:t>
            </w:r>
          </w:p>
        </w:tc>
        <w:tc>
          <w:tcPr>
            <w:tcW w:w="720" w:type="dxa"/>
            <w:vAlign w:val="center"/>
          </w:tcPr>
          <w:p w:rsidR="006636A1" w:rsidRPr="005E2C11" w:rsidRDefault="00496071" w:rsidP="006C13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636A1" w:rsidRPr="005E2C11" w:rsidTr="004735A1">
        <w:tc>
          <w:tcPr>
            <w:tcW w:w="8658" w:type="dxa"/>
            <w:vAlign w:val="center"/>
          </w:tcPr>
          <w:p w:rsidR="006636A1" w:rsidRPr="005E2C11" w:rsidRDefault="00496071" w:rsidP="000828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636A1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. Complete List of Baseline </w:t>
            </w:r>
            <w:r w:rsidR="00C54818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Characteristics </w:t>
            </w:r>
            <w:r w:rsidR="00082852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C54818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efore </w:t>
            </w:r>
            <w:r w:rsidR="006636A1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and </w:t>
            </w:r>
            <w:r w:rsidR="00082852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F41FCE">
              <w:rPr>
                <w:rFonts w:ascii="Times New Roman" w:hAnsi="Times New Roman" w:cs="Times New Roman"/>
                <w:sz w:val="24"/>
                <w:szCs w:val="24"/>
              </w:rPr>
              <w:t>fter Propensity Score</w:t>
            </w:r>
            <w:r w:rsidR="006636A1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 Weighting</w:t>
            </w:r>
            <w:r w:rsidR="00D77C8E">
              <w:t xml:space="preserve"> </w:t>
            </w:r>
            <w:r w:rsidR="00D77C8E" w:rsidRPr="00D77C8E">
              <w:rPr>
                <w:rFonts w:ascii="Times New Roman" w:hAnsi="Times New Roman" w:cs="Times New Roman"/>
                <w:sz w:val="24"/>
                <w:szCs w:val="24"/>
              </w:rPr>
              <w:t>In the Overall Cohort</w:t>
            </w:r>
          </w:p>
        </w:tc>
        <w:tc>
          <w:tcPr>
            <w:tcW w:w="720" w:type="dxa"/>
            <w:vAlign w:val="center"/>
          </w:tcPr>
          <w:p w:rsidR="006636A1" w:rsidRPr="005E2C11" w:rsidRDefault="00496071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636A1" w:rsidRPr="005E2C11" w:rsidTr="00F27603">
        <w:tc>
          <w:tcPr>
            <w:tcW w:w="8658" w:type="dxa"/>
            <w:vAlign w:val="center"/>
          </w:tcPr>
          <w:p w:rsidR="006636A1" w:rsidRPr="005E2C11" w:rsidRDefault="006C13B3" w:rsidP="003858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Tabl</w:t>
            </w:r>
            <w:r w:rsidR="00496071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="00496071" w:rsidRPr="005E2C1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AB72D2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. Baseline Characteristics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38587A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efore and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After Propensity Score</w:t>
            </w:r>
            <w:r w:rsidR="0038587A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 Weighting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In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 Trial Eligible Patients </w:t>
            </w:r>
          </w:p>
        </w:tc>
        <w:tc>
          <w:tcPr>
            <w:tcW w:w="720" w:type="dxa"/>
            <w:vAlign w:val="center"/>
          </w:tcPr>
          <w:p w:rsidR="006636A1" w:rsidRPr="005E2C11" w:rsidRDefault="00496071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C13B3" w:rsidRPr="005E2C11" w:rsidTr="00F27603">
        <w:tc>
          <w:tcPr>
            <w:tcW w:w="8658" w:type="dxa"/>
            <w:vAlign w:val="center"/>
          </w:tcPr>
          <w:p w:rsidR="006C13B3" w:rsidRPr="005E2C11" w:rsidRDefault="00496071" w:rsidP="003858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C3336">
              <w:rPr>
                <w:rFonts w:ascii="Times New Roman" w:hAnsi="Times New Roman" w:cs="Times New Roman"/>
                <w:sz w:val="24"/>
                <w:szCs w:val="24"/>
              </w:rPr>
              <w:t xml:space="preserve">. Baseline Characteristics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38587A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efore and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After Propensity Score</w:t>
            </w:r>
            <w:r w:rsidR="0038587A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 Weighting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 xml:space="preserve">In Patients </w:t>
            </w:r>
            <w:r w:rsidR="006C13B3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Who Failed to Meet CABANA Inclusion Criterion </w:t>
            </w:r>
          </w:p>
        </w:tc>
        <w:tc>
          <w:tcPr>
            <w:tcW w:w="720" w:type="dxa"/>
            <w:vAlign w:val="center"/>
          </w:tcPr>
          <w:p w:rsidR="006C13B3" w:rsidRPr="005E2C11" w:rsidRDefault="00496071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6C13B3" w:rsidRPr="005E2C11" w:rsidTr="00F27603">
        <w:tc>
          <w:tcPr>
            <w:tcW w:w="8658" w:type="dxa"/>
            <w:vAlign w:val="center"/>
          </w:tcPr>
          <w:p w:rsidR="006C13B3" w:rsidRPr="005E2C11" w:rsidRDefault="00496071" w:rsidP="003858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CC3336">
              <w:rPr>
                <w:rFonts w:ascii="Times New Roman" w:hAnsi="Times New Roman" w:cs="Times New Roman"/>
                <w:sz w:val="24"/>
                <w:szCs w:val="24"/>
              </w:rPr>
              <w:t xml:space="preserve">. Baseline Characteristics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38587A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efore and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After Propensity Score</w:t>
            </w:r>
            <w:r w:rsidR="0038587A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 Weighting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 xml:space="preserve">In Patients </w:t>
            </w:r>
            <w:r w:rsidR="006C13B3"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Who Met At </w:t>
            </w:r>
            <w:r w:rsidR="0038587A">
              <w:rPr>
                <w:rFonts w:ascii="Times New Roman" w:hAnsi="Times New Roman" w:cs="Times New Roman"/>
                <w:sz w:val="24"/>
                <w:szCs w:val="24"/>
              </w:rPr>
              <w:t>Least One of Exclusion Criteria</w:t>
            </w:r>
          </w:p>
        </w:tc>
        <w:tc>
          <w:tcPr>
            <w:tcW w:w="720" w:type="dxa"/>
            <w:vAlign w:val="center"/>
          </w:tcPr>
          <w:p w:rsidR="006C13B3" w:rsidRPr="005E2C11" w:rsidRDefault="00496071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852B05" w:rsidRPr="005E2C11" w:rsidTr="00F27603">
        <w:tc>
          <w:tcPr>
            <w:tcW w:w="8658" w:type="dxa"/>
            <w:vAlign w:val="center"/>
          </w:tcPr>
          <w:p w:rsidR="00852B05" w:rsidRPr="005E2C11" w:rsidRDefault="00852B05" w:rsidP="00B11E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7. Cumulative Risks and 95% Confidence Intervals at Different Time Points</w:t>
            </w:r>
          </w:p>
        </w:tc>
        <w:tc>
          <w:tcPr>
            <w:tcW w:w="720" w:type="dxa"/>
            <w:vAlign w:val="center"/>
          </w:tcPr>
          <w:p w:rsidR="00852B05" w:rsidRPr="005E2C11" w:rsidRDefault="00852B05" w:rsidP="006C13B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852B05" w:rsidRPr="005E2C11" w:rsidTr="004735A1">
        <w:tc>
          <w:tcPr>
            <w:tcW w:w="8658" w:type="dxa"/>
            <w:vAlign w:val="center"/>
          </w:tcPr>
          <w:p w:rsidR="00852B05" w:rsidRPr="005E2C11" w:rsidRDefault="00852B05" w:rsidP="00B11E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8. Sensitivity Analysis Using 1:1 Propensity Score Matching</w:t>
            </w:r>
          </w:p>
        </w:tc>
        <w:tc>
          <w:tcPr>
            <w:tcW w:w="720" w:type="dxa"/>
            <w:vAlign w:val="center"/>
          </w:tcPr>
          <w:p w:rsidR="00852B05" w:rsidRPr="005E2C11" w:rsidRDefault="00852B05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852B05" w:rsidRPr="005E2C11" w:rsidTr="004735A1">
        <w:tc>
          <w:tcPr>
            <w:tcW w:w="8658" w:type="dxa"/>
            <w:vAlign w:val="center"/>
          </w:tcPr>
          <w:p w:rsidR="00852B05" w:rsidRPr="005E2C11" w:rsidRDefault="00852B05" w:rsidP="00B11E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9. Sensitivity Analyses Stratified by Treatment with AAD or Rate Control Drugs in the Medical Therapy Cohort</w:t>
            </w:r>
          </w:p>
        </w:tc>
        <w:tc>
          <w:tcPr>
            <w:tcW w:w="720" w:type="dxa"/>
            <w:vAlign w:val="center"/>
          </w:tcPr>
          <w:p w:rsidR="00852B05" w:rsidRPr="005E2C11" w:rsidRDefault="00852B05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852B05" w:rsidRPr="005E2C11" w:rsidTr="004735A1">
        <w:tc>
          <w:tcPr>
            <w:tcW w:w="8658" w:type="dxa"/>
            <w:vAlign w:val="center"/>
          </w:tcPr>
          <w:p w:rsidR="00852B05" w:rsidRPr="005E2C11" w:rsidRDefault="00852B05" w:rsidP="00B11E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10. Sensitivity Analyses Stratified by Adherence in the Medical Therapy Cohort</w:t>
            </w:r>
          </w:p>
        </w:tc>
        <w:tc>
          <w:tcPr>
            <w:tcW w:w="720" w:type="dxa"/>
            <w:vAlign w:val="center"/>
          </w:tcPr>
          <w:p w:rsidR="00852B05" w:rsidRPr="005E2C11" w:rsidRDefault="00852B05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F11CE7" w:rsidRPr="005E2C11" w:rsidTr="004735A1">
        <w:tc>
          <w:tcPr>
            <w:tcW w:w="8658" w:type="dxa"/>
            <w:vAlign w:val="center"/>
          </w:tcPr>
          <w:p w:rsidR="00F11CE7" w:rsidRPr="005E2C11" w:rsidRDefault="008444A8" w:rsidP="00B11E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4A8">
              <w:rPr>
                <w:rFonts w:ascii="Times New Roman" w:hAnsi="Times New Roman" w:cs="Times New Roman"/>
                <w:sz w:val="24"/>
                <w:szCs w:val="24"/>
              </w:rPr>
              <w:t>Table S11. Sensitivity Analyses to Explore the Impact of Protocol Deviation on Treatment Effect</w:t>
            </w:r>
          </w:p>
        </w:tc>
        <w:tc>
          <w:tcPr>
            <w:tcW w:w="720" w:type="dxa"/>
            <w:vAlign w:val="center"/>
          </w:tcPr>
          <w:p w:rsidR="00F11CE7" w:rsidRPr="005E2C11" w:rsidRDefault="00842D71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852B05" w:rsidRPr="005E2C11" w:rsidTr="004735A1">
        <w:tc>
          <w:tcPr>
            <w:tcW w:w="8658" w:type="dxa"/>
            <w:vAlign w:val="center"/>
          </w:tcPr>
          <w:p w:rsidR="00852B05" w:rsidRPr="005E2C11" w:rsidRDefault="00852B05" w:rsidP="00B11E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 xml:space="preserve">Table </w:t>
            </w:r>
            <w:r w:rsidR="006E002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="008444A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5E2C11">
              <w:rPr>
                <w:rFonts w:ascii="Times New Roman" w:hAnsi="Times New Roman" w:cs="Times New Roman"/>
                <w:sz w:val="24"/>
                <w:szCs w:val="24"/>
              </w:rPr>
              <w:t>. Falsification Endpoint Test in Propensity Score Weighted Cohort</w:t>
            </w:r>
          </w:p>
        </w:tc>
        <w:tc>
          <w:tcPr>
            <w:tcW w:w="720" w:type="dxa"/>
            <w:vAlign w:val="center"/>
          </w:tcPr>
          <w:p w:rsidR="00852B05" w:rsidRPr="005E2C11" w:rsidRDefault="00842D71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F11CE7" w:rsidRPr="005E2C11" w:rsidTr="004735A1">
        <w:tc>
          <w:tcPr>
            <w:tcW w:w="8658" w:type="dxa"/>
            <w:vAlign w:val="center"/>
          </w:tcPr>
          <w:p w:rsidR="00F11CE7" w:rsidRDefault="00B71E04" w:rsidP="00524A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Figure S1</w:t>
            </w:r>
            <w:r w:rsidR="005430F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524A2B" w:rsidRPr="00524A2B">
              <w:rPr>
                <w:rFonts w:ascii="Times New Roman" w:hAnsi="Times New Roman" w:cs="Times New Roman"/>
                <w:sz w:val="24"/>
                <w:szCs w:val="24"/>
              </w:rPr>
              <w:t>Patients Selection Flow Diagram</w:t>
            </w:r>
          </w:p>
        </w:tc>
        <w:tc>
          <w:tcPr>
            <w:tcW w:w="720" w:type="dxa"/>
            <w:vAlign w:val="center"/>
          </w:tcPr>
          <w:p w:rsidR="00F11CE7" w:rsidRPr="005E2C11" w:rsidRDefault="00842D71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5430F5" w:rsidRPr="005E2C11" w:rsidTr="004735A1">
        <w:tc>
          <w:tcPr>
            <w:tcW w:w="8658" w:type="dxa"/>
            <w:vAlign w:val="center"/>
          </w:tcPr>
          <w:p w:rsidR="005430F5" w:rsidRDefault="005430F5" w:rsidP="008444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Figure S2.</w:t>
            </w:r>
            <w:r w:rsidR="008444A8">
              <w:t xml:space="preserve"> </w:t>
            </w:r>
            <w:r w:rsidR="008444A8" w:rsidRPr="008444A8">
              <w:rPr>
                <w:rFonts w:ascii="Times New Roman" w:hAnsi="Times New Roman" w:cs="Times New Roman"/>
                <w:sz w:val="24"/>
                <w:szCs w:val="24"/>
              </w:rPr>
              <w:t>Distribution of Propensity Scores, Stratified by Treatment Groups</w:t>
            </w:r>
          </w:p>
        </w:tc>
        <w:tc>
          <w:tcPr>
            <w:tcW w:w="720" w:type="dxa"/>
            <w:vAlign w:val="center"/>
          </w:tcPr>
          <w:p w:rsidR="005430F5" w:rsidRPr="005E2C11" w:rsidRDefault="005430F5" w:rsidP="006A1F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5430F5" w:rsidRPr="005E2C11" w:rsidTr="004735A1">
        <w:tc>
          <w:tcPr>
            <w:tcW w:w="8658" w:type="dxa"/>
            <w:vAlign w:val="center"/>
          </w:tcPr>
          <w:p w:rsidR="005430F5" w:rsidRPr="005E2C11" w:rsidRDefault="00537F25" w:rsidP="005430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37F25">
              <w:rPr>
                <w:rFonts w:ascii="Times New Roman" w:hAnsi="Times New Roman" w:cs="Times New Roman"/>
                <w:sz w:val="24"/>
                <w:szCs w:val="24"/>
              </w:rPr>
              <w:t>Figure S3. Subgroup Analysis for Primary Outcome in Propensity Score Weighted Patients Who Were Eligible for CABANA</w:t>
            </w:r>
          </w:p>
        </w:tc>
        <w:tc>
          <w:tcPr>
            <w:tcW w:w="720" w:type="dxa"/>
            <w:vAlign w:val="center"/>
          </w:tcPr>
          <w:p w:rsidR="005430F5" w:rsidRPr="005E2C11" w:rsidRDefault="005430F5" w:rsidP="006A1F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5430F5" w:rsidRPr="005E2C11" w:rsidTr="004735A1">
        <w:tc>
          <w:tcPr>
            <w:tcW w:w="8658" w:type="dxa"/>
            <w:vAlign w:val="center"/>
          </w:tcPr>
          <w:p w:rsidR="005430F5" w:rsidRDefault="00537F25" w:rsidP="00537F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Figure S4</w:t>
            </w:r>
            <w:r w:rsidRPr="00537F25">
              <w:rPr>
                <w:rFonts w:ascii="Times New Roman" w:hAnsi="Times New Roman" w:cs="Times New Roman"/>
                <w:sz w:val="24"/>
                <w:szCs w:val="24"/>
              </w:rPr>
              <w:t xml:space="preserve">. Subgroup Analysis for Primary Outcome in Propensity Score Weighted Patients Who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Failed to Meet CABANA Inclusion Criterion</w:t>
            </w:r>
          </w:p>
        </w:tc>
        <w:tc>
          <w:tcPr>
            <w:tcW w:w="720" w:type="dxa"/>
            <w:vAlign w:val="center"/>
          </w:tcPr>
          <w:p w:rsidR="005430F5" w:rsidRPr="005E2C11" w:rsidRDefault="005430F5" w:rsidP="006A1F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5430F5" w:rsidRPr="005E2C11" w:rsidTr="004735A1">
        <w:tc>
          <w:tcPr>
            <w:tcW w:w="8658" w:type="dxa"/>
            <w:vAlign w:val="center"/>
          </w:tcPr>
          <w:p w:rsidR="005430F5" w:rsidRDefault="005430F5" w:rsidP="009345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Figure S5. </w:t>
            </w:r>
            <w:r w:rsidR="00537F25" w:rsidRPr="00537F25">
              <w:rPr>
                <w:rFonts w:ascii="Times New Roman" w:hAnsi="Times New Roman" w:cs="Times New Roman"/>
                <w:sz w:val="24"/>
                <w:szCs w:val="24"/>
              </w:rPr>
              <w:t xml:space="preserve">Subgroup Analysis for Primary Outcome in Propensity Score Weighted Patients Who </w:t>
            </w:r>
            <w:r w:rsidR="00537F25">
              <w:rPr>
                <w:rFonts w:ascii="Times New Roman" w:hAnsi="Times New Roman" w:cs="Times New Roman"/>
                <w:sz w:val="24"/>
                <w:szCs w:val="24"/>
              </w:rPr>
              <w:t xml:space="preserve">Met </w:t>
            </w:r>
            <w:r w:rsidR="00934582">
              <w:rPr>
                <w:rFonts w:ascii="Times New Roman" w:hAnsi="Times New Roman" w:cs="Times New Roman"/>
                <w:sz w:val="24"/>
                <w:szCs w:val="24"/>
              </w:rPr>
              <w:t>At Least O</w:t>
            </w:r>
            <w:r w:rsidR="00537F25">
              <w:rPr>
                <w:rFonts w:ascii="Times New Roman" w:hAnsi="Times New Roman" w:cs="Times New Roman"/>
                <w:sz w:val="24"/>
                <w:szCs w:val="24"/>
              </w:rPr>
              <w:t>ne of the CABANA Exclusion Criterion</w:t>
            </w:r>
          </w:p>
        </w:tc>
        <w:tc>
          <w:tcPr>
            <w:tcW w:w="720" w:type="dxa"/>
            <w:vAlign w:val="center"/>
          </w:tcPr>
          <w:p w:rsidR="005430F5" w:rsidRPr="005E2C11" w:rsidRDefault="005430F5" w:rsidP="006A1F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</w:tr>
      <w:tr w:rsidR="005430F5" w:rsidRPr="005E2C11" w:rsidTr="004735A1">
        <w:tc>
          <w:tcPr>
            <w:tcW w:w="8658" w:type="dxa"/>
            <w:vAlign w:val="center"/>
          </w:tcPr>
          <w:p w:rsidR="005430F5" w:rsidRDefault="005430F5" w:rsidP="00B11E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30F5">
              <w:rPr>
                <w:rFonts w:ascii="Times New Roman" w:hAnsi="Times New Roman" w:cs="Times New Roman"/>
                <w:sz w:val="24"/>
                <w:szCs w:val="24"/>
              </w:rPr>
              <w:t>Figure S6. Effect of an Unmeasured Confounder</w:t>
            </w:r>
          </w:p>
        </w:tc>
        <w:tc>
          <w:tcPr>
            <w:tcW w:w="720" w:type="dxa"/>
            <w:vAlign w:val="center"/>
          </w:tcPr>
          <w:p w:rsidR="005430F5" w:rsidRPr="005E2C11" w:rsidRDefault="005430F5" w:rsidP="00F276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</w:tbl>
    <w:p w:rsidR="006E631E" w:rsidRPr="005E2C11" w:rsidRDefault="006E631E" w:rsidP="006E631E">
      <w:pPr>
        <w:rPr>
          <w:rFonts w:ascii="Times New Roman" w:hAnsi="Times New Roman" w:cs="Times New Roman"/>
          <w:sz w:val="24"/>
          <w:szCs w:val="24"/>
        </w:rPr>
      </w:pPr>
    </w:p>
    <w:p w:rsidR="00C00259" w:rsidRPr="005E2C11" w:rsidRDefault="00C00259" w:rsidP="006E631E">
      <w:pPr>
        <w:rPr>
          <w:rFonts w:ascii="Times New Roman" w:hAnsi="Times New Roman" w:cs="Times New Roman"/>
          <w:sz w:val="24"/>
          <w:szCs w:val="24"/>
        </w:rPr>
        <w:sectPr w:rsidR="00C00259" w:rsidRPr="005E2C11">
          <w:footerReference w:type="default" r:id="rId9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96071" w:rsidRPr="00E7782E" w:rsidRDefault="00496071" w:rsidP="00496071">
      <w:pPr>
        <w:rPr>
          <w:rFonts w:ascii="Times New Roman" w:hAnsi="Times New Roman" w:cs="Times New Roman"/>
          <w:b/>
          <w:sz w:val="24"/>
        </w:rPr>
      </w:pPr>
      <w:r w:rsidRPr="00E7782E">
        <w:rPr>
          <w:rFonts w:ascii="Times New Roman" w:hAnsi="Times New Roman" w:cs="Times New Roman"/>
          <w:b/>
          <w:sz w:val="24"/>
        </w:rPr>
        <w:lastRenderedPageBreak/>
        <w:t xml:space="preserve">Table </w:t>
      </w:r>
      <w:r w:rsidR="00DC7F50" w:rsidRPr="00E7782E">
        <w:rPr>
          <w:rFonts w:ascii="Times New Roman" w:hAnsi="Times New Roman" w:cs="Times New Roman"/>
          <w:b/>
          <w:sz w:val="24"/>
        </w:rPr>
        <w:t>S</w:t>
      </w:r>
      <w:r w:rsidRPr="00E7782E">
        <w:rPr>
          <w:rFonts w:ascii="Times New Roman" w:hAnsi="Times New Roman" w:cs="Times New Roman"/>
          <w:b/>
          <w:sz w:val="24"/>
        </w:rPr>
        <w:t>1. Diagno</w:t>
      </w:r>
      <w:r w:rsidR="003F754A" w:rsidRPr="00E7782E">
        <w:rPr>
          <w:rFonts w:ascii="Times New Roman" w:hAnsi="Times New Roman" w:cs="Times New Roman"/>
          <w:b/>
          <w:sz w:val="24"/>
        </w:rPr>
        <w:t>sis</w:t>
      </w:r>
      <w:r w:rsidRPr="00E7782E">
        <w:rPr>
          <w:rFonts w:ascii="Times New Roman" w:hAnsi="Times New Roman" w:cs="Times New Roman"/>
          <w:b/>
          <w:sz w:val="24"/>
        </w:rPr>
        <w:t xml:space="preserve"> and Procedure Codes Used to Identify Key Conditions, Procedures, and Outcomes</w:t>
      </w:r>
    </w:p>
    <w:tbl>
      <w:tblPr>
        <w:tblW w:w="13121" w:type="dxa"/>
        <w:tblInd w:w="-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55"/>
        <w:gridCol w:w="2602"/>
        <w:gridCol w:w="2345"/>
        <w:gridCol w:w="319"/>
        <w:gridCol w:w="2206"/>
        <w:gridCol w:w="2097"/>
        <w:gridCol w:w="2097"/>
      </w:tblGrid>
      <w:tr w:rsidR="00496071" w:rsidRPr="005E2C11" w:rsidTr="00B11E52">
        <w:trPr>
          <w:trHeight w:val="247"/>
        </w:trPr>
        <w:tc>
          <w:tcPr>
            <w:tcW w:w="1455" w:type="dxa"/>
            <w:tcBorders>
              <w:top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</w:p>
        </w:tc>
        <w:tc>
          <w:tcPr>
            <w:tcW w:w="494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Diagnosis Codes</w:t>
            </w:r>
          </w:p>
        </w:tc>
        <w:tc>
          <w:tcPr>
            <w:tcW w:w="319" w:type="dxa"/>
            <w:tcBorders>
              <w:top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400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Procedure Codes</w:t>
            </w:r>
          </w:p>
        </w:tc>
      </w:tr>
      <w:tr w:rsidR="00496071" w:rsidRPr="005E2C11" w:rsidTr="00B11E52">
        <w:trPr>
          <w:trHeight w:val="247"/>
        </w:trPr>
        <w:tc>
          <w:tcPr>
            <w:tcW w:w="1455" w:type="dxa"/>
            <w:tcBorders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</w:p>
        </w:tc>
        <w:tc>
          <w:tcPr>
            <w:tcW w:w="26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ICD-9-CM</w:t>
            </w:r>
          </w:p>
        </w:tc>
        <w:tc>
          <w:tcPr>
            <w:tcW w:w="2345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ICD-10-CM</w:t>
            </w:r>
          </w:p>
        </w:tc>
        <w:tc>
          <w:tcPr>
            <w:tcW w:w="319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06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CPT</w:t>
            </w: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ICD-9</w:t>
            </w: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ICD-10</w:t>
            </w:r>
          </w:p>
        </w:tc>
      </w:tr>
      <w:tr w:rsidR="00496071" w:rsidRPr="005E2C11" w:rsidTr="00B11E52">
        <w:trPr>
          <w:trHeight w:val="247"/>
        </w:trPr>
        <w:tc>
          <w:tcPr>
            <w:tcW w:w="14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Atrial Fibrillation</w:t>
            </w:r>
          </w:p>
        </w:tc>
        <w:tc>
          <w:tcPr>
            <w:tcW w:w="26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427.31</w:t>
            </w:r>
          </w:p>
        </w:tc>
        <w:tc>
          <w:tcPr>
            <w:tcW w:w="2345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I48.0, I48.1, I48.2, I48.91</w:t>
            </w:r>
          </w:p>
        </w:tc>
        <w:tc>
          <w:tcPr>
            <w:tcW w:w="319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</w:tr>
      <w:tr w:rsidR="00496071" w:rsidRPr="005E2C11" w:rsidTr="00B11E52">
        <w:trPr>
          <w:trHeight w:val="247"/>
        </w:trPr>
        <w:tc>
          <w:tcPr>
            <w:tcW w:w="14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sz w:val="20"/>
                <w:szCs w:val="20"/>
              </w:rPr>
              <w:t>Catheter Ablation</w:t>
            </w:r>
          </w:p>
        </w:tc>
        <w:tc>
          <w:tcPr>
            <w:tcW w:w="26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345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319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93651, 93656, 93657</w:t>
            </w: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37.34</w:t>
            </w: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025S3ZZ, 025T3ZZ</w:t>
            </w:r>
          </w:p>
        </w:tc>
      </w:tr>
      <w:tr w:rsidR="00496071" w:rsidRPr="005E2C11" w:rsidTr="00B11E52">
        <w:trPr>
          <w:trHeight w:val="260"/>
        </w:trPr>
        <w:tc>
          <w:tcPr>
            <w:tcW w:w="1455" w:type="dxa"/>
            <w:tcBorders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1A171C"/>
                <w:sz w:val="20"/>
                <w:szCs w:val="20"/>
              </w:rPr>
              <w:t>Ischemic stroke</w:t>
            </w:r>
          </w:p>
        </w:tc>
        <w:tc>
          <w:tcPr>
            <w:tcW w:w="2602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433.x1, 434.x1, 436</w:t>
            </w:r>
          </w:p>
        </w:tc>
        <w:tc>
          <w:tcPr>
            <w:tcW w:w="2345" w:type="dxa"/>
            <w:tcBorders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I63.x</w:t>
            </w:r>
          </w:p>
        </w:tc>
        <w:tc>
          <w:tcPr>
            <w:tcW w:w="319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  <w:tcBorders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</w:tr>
      <w:tr w:rsidR="00496071" w:rsidRPr="005E2C11" w:rsidTr="00B11E52">
        <w:trPr>
          <w:trHeight w:val="247"/>
        </w:trPr>
        <w:tc>
          <w:tcPr>
            <w:tcW w:w="1455" w:type="dxa"/>
            <w:tcBorders>
              <w:top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1A171C"/>
                <w:sz w:val="20"/>
                <w:szCs w:val="20"/>
              </w:rPr>
              <w:t>Major bleeding</w:t>
            </w:r>
          </w:p>
        </w:tc>
        <w:tc>
          <w:tcPr>
            <w:tcW w:w="2602" w:type="dxa"/>
            <w:tcBorders>
              <w:top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345" w:type="dxa"/>
            <w:tcBorders>
              <w:top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</w:p>
        </w:tc>
        <w:tc>
          <w:tcPr>
            <w:tcW w:w="319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  <w:tcBorders>
              <w:top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</w:tr>
      <w:tr w:rsidR="00496071" w:rsidRPr="005E2C11" w:rsidTr="00B11E52">
        <w:trPr>
          <w:trHeight w:val="247"/>
        </w:trPr>
        <w:tc>
          <w:tcPr>
            <w:tcW w:w="1455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Gastrointestinal bleeding</w:t>
            </w:r>
          </w:p>
        </w:tc>
        <w:tc>
          <w:tcPr>
            <w:tcW w:w="260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456.0, 456.20, 530.21, 530.7, 530.82, 531.0x, 531.2x, 531.4x, 531.6x, 532.0x, 532.2x, 532.4x, 532.6x, 533.0x, 533.2x, 533.4x, 533.6x, 534.0x, 534.2x, 534.4x, 534.6x, 535.01, 535.11, 535.21, 535.31, 535.41, 535.51, 535.61, 535.71, 537.83, 537.84, 562.02, 562.03, 562.12, 562.13, 569.3, 569.85, 578.x</w:t>
            </w:r>
          </w:p>
        </w:tc>
        <w:tc>
          <w:tcPr>
            <w:tcW w:w="2345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I85.01, I85.11, K22.11,K22.6, K25.0, K25.2, K25.4, K25.6, K26.0, K26.2, K26.4, K26.6 ,K27.0, K27.2, K27.4, K27.6, K28.0, K28.4, K28.6, K29.x1,</w:t>
            </w:r>
            <w:r w:rsidRPr="005E2C11">
              <w:rPr>
                <w:rFonts w:ascii="Times New Roman" w:hAnsi="Times New Roman" w:cs="Times New Roman"/>
              </w:rPr>
              <w:t xml:space="preserve"> </w:t>
            </w: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K31.811, K31.82, K55.21, K57.x1, K57.x3, K62.5, K63.81, , K92.0, K92.1, K92.2,</w:t>
            </w:r>
          </w:p>
        </w:tc>
        <w:tc>
          <w:tcPr>
            <w:tcW w:w="319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</w:tr>
      <w:tr w:rsidR="00496071" w:rsidRPr="005E2C11" w:rsidTr="00B11E52">
        <w:trPr>
          <w:trHeight w:val="260"/>
        </w:trPr>
        <w:tc>
          <w:tcPr>
            <w:tcW w:w="1455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Intracranial bleeding</w:t>
            </w:r>
          </w:p>
        </w:tc>
        <w:tc>
          <w:tcPr>
            <w:tcW w:w="260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430, 431, 432.x, 852.x, 853.x, 800.2x, 800.3x, 800.7x, 800.8x, 801.2x, 801.3x, 801.7x, 801.8x, 803.2x, 803.3x, 803.7x, 803.8x, 804.2x, 804.3x, 804.7x, 804.8x,</w:t>
            </w:r>
          </w:p>
        </w:tc>
        <w:tc>
          <w:tcPr>
            <w:tcW w:w="2345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I60.x, I61.x, S06.34x, S06.35x, S06.36x, S06.37x, S06.38x, S06.4x, S06.5x, S06.6x</w:t>
            </w:r>
          </w:p>
        </w:tc>
        <w:tc>
          <w:tcPr>
            <w:tcW w:w="319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</w:tr>
      <w:tr w:rsidR="00496071" w:rsidRPr="005E2C11" w:rsidTr="00B11E52">
        <w:trPr>
          <w:trHeight w:val="260"/>
        </w:trPr>
        <w:tc>
          <w:tcPr>
            <w:tcW w:w="1455" w:type="dxa"/>
            <w:tcBorders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bleeding</w:t>
            </w:r>
          </w:p>
        </w:tc>
        <w:tc>
          <w:tcPr>
            <w:tcW w:w="2602" w:type="dxa"/>
            <w:tcBorders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423.0, 459.0, 568.81, 596.7, 599.71, 719.1x, 784.8, 786.3</w:t>
            </w:r>
          </w:p>
        </w:tc>
        <w:tc>
          <w:tcPr>
            <w:tcW w:w="2345" w:type="dxa"/>
            <w:tcBorders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I31.2, K66.1, M25.0, R04.1, R04.2, R31.0, R58</w:t>
            </w:r>
          </w:p>
        </w:tc>
        <w:tc>
          <w:tcPr>
            <w:tcW w:w="319" w:type="dxa"/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  <w:tcBorders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</w:tr>
      <w:tr w:rsidR="00496071" w:rsidRPr="005E2C11" w:rsidTr="00B11E52">
        <w:trPr>
          <w:trHeight w:val="260"/>
        </w:trPr>
        <w:tc>
          <w:tcPr>
            <w:tcW w:w="14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96071" w:rsidRPr="005E2C11" w:rsidRDefault="00496071" w:rsidP="00B11E52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1A171C"/>
                <w:sz w:val="20"/>
                <w:szCs w:val="20"/>
              </w:rPr>
              <w:t>Cardiac arrest</w:t>
            </w:r>
          </w:p>
        </w:tc>
        <w:tc>
          <w:tcPr>
            <w:tcW w:w="26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427.5</w:t>
            </w:r>
          </w:p>
        </w:tc>
        <w:tc>
          <w:tcPr>
            <w:tcW w:w="2345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I46.x  , I46.2, I46.8, I46.9</w:t>
            </w:r>
          </w:p>
        </w:tc>
        <w:tc>
          <w:tcPr>
            <w:tcW w:w="319" w:type="dxa"/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206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bottom w:val="single" w:sz="4" w:space="0" w:color="auto"/>
            </w:tcBorders>
          </w:tcPr>
          <w:p w:rsidR="00496071" w:rsidRPr="005E2C11" w:rsidRDefault="0049607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</w:p>
        </w:tc>
      </w:tr>
    </w:tbl>
    <w:p w:rsidR="00496071" w:rsidRPr="005E2C11" w:rsidRDefault="002D1A15" w:rsidP="00496071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ICD-9-CM denotes </w:t>
      </w:r>
      <w:r w:rsidRPr="002D1A15">
        <w:rPr>
          <w:rFonts w:ascii="Times New Roman" w:hAnsi="Times New Roman" w:cs="Times New Roman"/>
          <w:sz w:val="20"/>
        </w:rPr>
        <w:t>International Classification of Diseases, 9th Revision, Clinical Modification</w:t>
      </w:r>
      <w:r>
        <w:rPr>
          <w:rFonts w:ascii="Times New Roman" w:hAnsi="Times New Roman" w:cs="Times New Roman"/>
          <w:sz w:val="20"/>
        </w:rPr>
        <w:t xml:space="preserve">, ICD-10-CM </w:t>
      </w:r>
      <w:r w:rsidRPr="002D1A15">
        <w:rPr>
          <w:rFonts w:ascii="Times New Roman" w:hAnsi="Times New Roman" w:cs="Times New Roman"/>
          <w:sz w:val="20"/>
        </w:rPr>
        <w:t>International Classification of Diseases, 10th Revision</w:t>
      </w:r>
      <w:r>
        <w:rPr>
          <w:rFonts w:ascii="Times New Roman" w:hAnsi="Times New Roman" w:cs="Times New Roman"/>
          <w:sz w:val="20"/>
        </w:rPr>
        <w:t xml:space="preserve">, </w:t>
      </w:r>
      <w:r w:rsidRPr="002D1A15">
        <w:rPr>
          <w:rFonts w:ascii="Times New Roman" w:hAnsi="Times New Roman" w:cs="Times New Roman"/>
          <w:sz w:val="20"/>
        </w:rPr>
        <w:t>Clinical Modification</w:t>
      </w:r>
      <w:r>
        <w:rPr>
          <w:rFonts w:ascii="Times New Roman" w:hAnsi="Times New Roman" w:cs="Times New Roman"/>
          <w:sz w:val="20"/>
        </w:rPr>
        <w:t xml:space="preserve">, </w:t>
      </w:r>
      <w:r w:rsidR="00004A34">
        <w:rPr>
          <w:rFonts w:ascii="Times New Roman" w:hAnsi="Times New Roman" w:cs="Times New Roman"/>
          <w:sz w:val="20"/>
        </w:rPr>
        <w:t xml:space="preserve">and </w:t>
      </w:r>
      <w:r>
        <w:rPr>
          <w:rFonts w:ascii="Times New Roman" w:hAnsi="Times New Roman" w:cs="Times New Roman"/>
          <w:sz w:val="20"/>
        </w:rPr>
        <w:t>CPT c</w:t>
      </w:r>
      <w:r w:rsidRPr="002D1A15">
        <w:rPr>
          <w:rFonts w:ascii="Times New Roman" w:hAnsi="Times New Roman" w:cs="Times New Roman"/>
          <w:sz w:val="20"/>
        </w:rPr>
        <w:t xml:space="preserve">urrent </w:t>
      </w:r>
      <w:r>
        <w:rPr>
          <w:rFonts w:ascii="Times New Roman" w:hAnsi="Times New Roman" w:cs="Times New Roman"/>
          <w:sz w:val="20"/>
        </w:rPr>
        <w:t>p</w:t>
      </w:r>
      <w:r w:rsidRPr="002D1A15">
        <w:rPr>
          <w:rFonts w:ascii="Times New Roman" w:hAnsi="Times New Roman" w:cs="Times New Roman"/>
          <w:sz w:val="20"/>
        </w:rPr>
        <w:t xml:space="preserve">rocedural </w:t>
      </w:r>
      <w:r>
        <w:rPr>
          <w:rFonts w:ascii="Times New Roman" w:hAnsi="Times New Roman" w:cs="Times New Roman"/>
          <w:sz w:val="20"/>
        </w:rPr>
        <w:t>t</w:t>
      </w:r>
      <w:r w:rsidRPr="002D1A15">
        <w:rPr>
          <w:rFonts w:ascii="Times New Roman" w:hAnsi="Times New Roman" w:cs="Times New Roman"/>
          <w:sz w:val="20"/>
        </w:rPr>
        <w:t>erminology</w:t>
      </w:r>
      <w:r w:rsidR="00004A34">
        <w:rPr>
          <w:rFonts w:ascii="Times New Roman" w:hAnsi="Times New Roman" w:cs="Times New Roman"/>
          <w:sz w:val="20"/>
        </w:rPr>
        <w:t>.</w:t>
      </w:r>
    </w:p>
    <w:p w:rsidR="00496071" w:rsidRPr="005E2C11" w:rsidRDefault="00496071">
      <w:pPr>
        <w:rPr>
          <w:rFonts w:ascii="Times New Roman" w:hAnsi="Times New Roman" w:cs="Times New Roman"/>
          <w:b/>
          <w:sz w:val="24"/>
          <w:szCs w:val="24"/>
        </w:rPr>
      </w:pPr>
      <w:r w:rsidRPr="005E2C11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C7BF8" w:rsidRPr="005E2C11" w:rsidRDefault="00CC7BF8" w:rsidP="00CC7BF8">
      <w:pPr>
        <w:rPr>
          <w:rFonts w:ascii="Times New Roman" w:hAnsi="Times New Roman" w:cs="Times New Roman"/>
          <w:b/>
          <w:sz w:val="24"/>
          <w:szCs w:val="24"/>
        </w:rPr>
      </w:pPr>
      <w:r w:rsidRPr="005E2C1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Table </w:t>
      </w:r>
      <w:r w:rsidR="00DC7F50">
        <w:rPr>
          <w:rFonts w:ascii="Times New Roman" w:hAnsi="Times New Roman" w:cs="Times New Roman"/>
          <w:b/>
          <w:sz w:val="24"/>
          <w:szCs w:val="24"/>
        </w:rPr>
        <w:t>S</w:t>
      </w:r>
      <w:r w:rsidR="00444F8F" w:rsidRPr="005E2C11">
        <w:rPr>
          <w:rFonts w:ascii="Times New Roman" w:hAnsi="Times New Roman" w:cs="Times New Roman"/>
          <w:b/>
          <w:sz w:val="24"/>
          <w:szCs w:val="24"/>
        </w:rPr>
        <w:t>2</w:t>
      </w:r>
      <w:r w:rsidR="00104AC2">
        <w:rPr>
          <w:rFonts w:ascii="Times New Roman" w:hAnsi="Times New Roman" w:cs="Times New Roman"/>
          <w:b/>
          <w:sz w:val="24"/>
          <w:szCs w:val="24"/>
        </w:rPr>
        <w:t>.</w:t>
      </w:r>
      <w:r w:rsidRPr="005E2C1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665D7" w:rsidRPr="006665D7">
        <w:rPr>
          <w:rFonts w:ascii="Times New Roman" w:hAnsi="Times New Roman" w:cs="Times New Roman"/>
          <w:b/>
          <w:sz w:val="24"/>
          <w:szCs w:val="24"/>
        </w:rPr>
        <w:t>Proportion of Patie</w:t>
      </w:r>
      <w:r w:rsidR="00C96BFC">
        <w:rPr>
          <w:rFonts w:ascii="Times New Roman" w:hAnsi="Times New Roman" w:cs="Times New Roman"/>
          <w:b/>
          <w:sz w:val="24"/>
          <w:szCs w:val="24"/>
        </w:rPr>
        <w:t>nts Meeting Each of the CABANA T</w:t>
      </w:r>
      <w:r w:rsidR="006665D7" w:rsidRPr="006665D7">
        <w:rPr>
          <w:rFonts w:ascii="Times New Roman" w:hAnsi="Times New Roman" w:cs="Times New Roman"/>
          <w:b/>
          <w:sz w:val="24"/>
          <w:szCs w:val="24"/>
        </w:rPr>
        <w:t>rial Inclusion/Exclusion Criteria</w:t>
      </w:r>
    </w:p>
    <w:tbl>
      <w:tblPr>
        <w:tblStyle w:val="-1"/>
        <w:tblW w:w="12717" w:type="dxa"/>
        <w:tblLook w:val="04A0" w:firstRow="1" w:lastRow="0" w:firstColumn="1" w:lastColumn="0" w:noHBand="0" w:noVBand="1"/>
      </w:tblPr>
      <w:tblGrid>
        <w:gridCol w:w="4181"/>
        <w:gridCol w:w="4337"/>
        <w:gridCol w:w="1562"/>
        <w:gridCol w:w="1362"/>
        <w:gridCol w:w="1275"/>
      </w:tblGrid>
      <w:tr w:rsidR="00CC7BF8" w:rsidRPr="005E2C11" w:rsidTr="006C13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shd w:val="clear" w:color="auto" w:fill="D9D9D9" w:themeFill="background1" w:themeFillShade="D9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CABANA Eligibility Criteria</w:t>
            </w:r>
          </w:p>
        </w:tc>
        <w:tc>
          <w:tcPr>
            <w:tcW w:w="4363" w:type="dxa"/>
            <w:shd w:val="clear" w:color="auto" w:fill="D9D9D9" w:themeFill="background1" w:themeFillShade="D9"/>
            <w:vAlign w:val="center"/>
          </w:tcPr>
          <w:p w:rsidR="00CC7BF8" w:rsidRPr="005E2C11" w:rsidRDefault="00CC7BF8" w:rsidP="006C1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Operational Definition in OLDW</w:t>
            </w:r>
          </w:p>
        </w:tc>
        <w:tc>
          <w:tcPr>
            <w:tcW w:w="1564" w:type="dxa"/>
            <w:shd w:val="clear" w:color="auto" w:fill="D9D9D9" w:themeFill="background1" w:themeFillShade="D9"/>
            <w:vAlign w:val="center"/>
          </w:tcPr>
          <w:p w:rsidR="00CC7BF8" w:rsidRPr="005E2C11" w:rsidRDefault="00CC7BF8" w:rsidP="006C1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Overall Cohort</w:t>
            </w:r>
          </w:p>
          <w:p w:rsidR="00CC7BF8" w:rsidRPr="005E2C11" w:rsidRDefault="00CC7BF8" w:rsidP="006C1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(N=183,760)</w:t>
            </w:r>
          </w:p>
        </w:tc>
        <w:tc>
          <w:tcPr>
            <w:tcW w:w="1310" w:type="dxa"/>
            <w:shd w:val="clear" w:color="auto" w:fill="D9D9D9" w:themeFill="background1" w:themeFillShade="D9"/>
            <w:vAlign w:val="center"/>
          </w:tcPr>
          <w:p w:rsidR="00CC7BF8" w:rsidRPr="005E2C11" w:rsidRDefault="00CC7BF8" w:rsidP="006C1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Drug-Treated</w:t>
            </w:r>
          </w:p>
          <w:p w:rsidR="00CC7BF8" w:rsidRPr="005E2C11" w:rsidRDefault="00CC7BF8" w:rsidP="006C1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(N=171,728)</w:t>
            </w:r>
          </w:p>
        </w:tc>
        <w:tc>
          <w:tcPr>
            <w:tcW w:w="1275" w:type="dxa"/>
            <w:shd w:val="clear" w:color="auto" w:fill="D9D9D9" w:themeFill="background1" w:themeFillShade="D9"/>
            <w:vAlign w:val="center"/>
          </w:tcPr>
          <w:p w:rsidR="00CC7BF8" w:rsidRPr="005E2C11" w:rsidRDefault="00CC7BF8" w:rsidP="006C1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Ablation</w:t>
            </w:r>
          </w:p>
          <w:p w:rsidR="00CC7BF8" w:rsidRPr="005E2C11" w:rsidRDefault="00CC7BF8" w:rsidP="006C1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auto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Cs w:val="20"/>
              </w:rPr>
              <w:t>(N=12,032)</w:t>
            </w: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Total % of patients ineligible for CABANA</w:t>
            </w:r>
          </w:p>
        </w:tc>
        <w:tc>
          <w:tcPr>
            <w:tcW w:w="4363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564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26.2%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25.0%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42.6%</w:t>
            </w:r>
          </w:p>
        </w:tc>
      </w:tr>
      <w:tr w:rsidR="00CC7BF8" w:rsidRPr="005E2C11" w:rsidTr="006C13B3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Patients who failed to meet the </w:t>
            </w: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  <w:u w:val="single"/>
              </w:rPr>
              <w:t>inclusion</w:t>
            </w: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 criterion below (%)</w:t>
            </w:r>
          </w:p>
        </w:tc>
        <w:tc>
          <w:tcPr>
            <w:tcW w:w="4363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564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4.4%</w:t>
            </w:r>
          </w:p>
        </w:tc>
        <w:tc>
          <w:tcPr>
            <w:tcW w:w="1310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4.0%</w:t>
            </w:r>
          </w:p>
        </w:tc>
        <w:tc>
          <w:tcPr>
            <w:tcW w:w="1275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8.9%</w:t>
            </w:r>
          </w:p>
        </w:tc>
      </w:tr>
      <w:tr w:rsidR="00CC7BF8" w:rsidRPr="005E2C11" w:rsidTr="006C13B3">
        <w:trPr>
          <w:trHeight w:val="13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shd w:val="clear" w:color="auto" w:fill="DBE5F1" w:themeFill="accent1" w:themeFillTint="33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Age &lt;65 years in the absence of any of the stroke risk factors: hypertension, diabetes, CHF, prior stroke, TIA or systemic emboli, vascular disease, LA size &gt;5.0 cm (or volume index ≥40 cc/m2), or ejection fraction ≤35%</w:t>
            </w:r>
          </w:p>
        </w:tc>
        <w:tc>
          <w:tcPr>
            <w:tcW w:w="4363" w:type="dxa"/>
            <w:shd w:val="clear" w:color="auto" w:fill="DBE5F1" w:themeFill="accent1" w:themeFillTint="33"/>
            <w:vAlign w:val="center"/>
          </w:tcPr>
          <w:p w:rsidR="00CC7BF8" w:rsidRPr="005E2C11" w:rsidRDefault="00CC7BF8" w:rsidP="00A22A5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Age &lt;65 years and lack of these risk factors (LA size and ejection fraction were not available in administrative claims data</w:t>
            </w:r>
            <w:r w:rsidR="00A22A5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, but few patients without CHF would have low ejection fraction</w:t>
            </w: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)</w:t>
            </w:r>
          </w:p>
        </w:tc>
        <w:tc>
          <w:tcPr>
            <w:tcW w:w="1564" w:type="dxa"/>
            <w:shd w:val="clear" w:color="auto" w:fill="DBE5F1" w:themeFill="accent1" w:themeFillTint="33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310" w:type="dxa"/>
            <w:shd w:val="clear" w:color="auto" w:fill="DBE5F1" w:themeFill="accent1" w:themeFillTint="33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275" w:type="dxa"/>
            <w:shd w:val="clear" w:color="auto" w:fill="DBE5F1" w:themeFill="accent1" w:themeFillTint="33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4363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564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310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C7BF8" w:rsidRPr="005E2C11" w:rsidTr="006C13B3">
        <w:trPr>
          <w:trHeight w:val="5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Patients who met one of the following </w:t>
            </w: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  <w:u w:val="single"/>
              </w:rPr>
              <w:t>exclusion</w:t>
            </w: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 criteria (%)</w:t>
            </w:r>
          </w:p>
        </w:tc>
        <w:tc>
          <w:tcPr>
            <w:tcW w:w="4363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564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22.4%</w:t>
            </w:r>
          </w:p>
        </w:tc>
        <w:tc>
          <w:tcPr>
            <w:tcW w:w="1310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21.4%</w:t>
            </w:r>
          </w:p>
        </w:tc>
        <w:tc>
          <w:tcPr>
            <w:tcW w:w="1275" w:type="dxa"/>
            <w:shd w:val="clear" w:color="auto" w:fill="8DB3E2" w:themeFill="text2" w:themeFillTint="66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35.7%</w:t>
            </w: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Failed &gt;2 membrane active AADs at a therapeutic dose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Use of 3 or more AADs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0.7%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0.3%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6.5%</w:t>
            </w:r>
          </w:p>
        </w:tc>
      </w:tr>
      <w:tr w:rsidR="00CC7BF8" w:rsidRPr="005E2C11" w:rsidTr="006C13B3">
        <w:trPr>
          <w:trHeight w:val="8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Failure of full dose amiodarone treatment &gt;8 weeks duration at any time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&gt;8 weeks of supply for a</w:t>
            </w:r>
            <w:r w:rsidR="00812839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miodarone in patient who underwent</w:t>
            </w: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subsequent ablation or switch</w:t>
            </w:r>
            <w:r w:rsidR="00812839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ed</w:t>
            </w: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to another AAD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1.7%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0.5%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19.7%</w:t>
            </w: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Recent cardiac events including MI, PCI, or valve or bypass surgery in the preceding 3 months</w:t>
            </w:r>
          </w:p>
        </w:tc>
        <w:tc>
          <w:tcPr>
            <w:tcW w:w="4363" w:type="dxa"/>
            <w:vAlign w:val="center"/>
          </w:tcPr>
          <w:p w:rsidR="00CC7BF8" w:rsidRPr="005E2C11" w:rsidRDefault="0036453C" w:rsidP="0036453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Primary diagnosis of MI during an inpatient stay or emergency room visit </w:t>
            </w:r>
            <w:r w:rsidR="00CC7BF8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or procedure codes for these procedures during the last 3 months of the </w:t>
            </w:r>
            <w:r w:rsidR="00016E3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baseline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10.2%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10.9%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1.4%</w:t>
            </w:r>
          </w:p>
        </w:tc>
      </w:tr>
      <w:tr w:rsidR="00CC7BF8" w:rsidRPr="005E2C11" w:rsidTr="006C13B3">
        <w:trPr>
          <w:trHeight w:val="5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Hypertrophic obstructive cardiomyopathy (outflow tract)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Diagnosis codes for hypertrophic obstructive cardiomyopathy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0.5%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0.4%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0.9%</w:t>
            </w:r>
          </w:p>
        </w:tc>
      </w:tr>
      <w:tr w:rsidR="00CC7BF8" w:rsidRPr="005E2C11" w:rsidTr="0081283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Class IV angina or Class IV CHF (including past or planned heart transplantation)</w:t>
            </w:r>
          </w:p>
        </w:tc>
        <w:tc>
          <w:tcPr>
            <w:tcW w:w="4363" w:type="dxa"/>
            <w:vAlign w:val="center"/>
          </w:tcPr>
          <w:p w:rsidR="00CC7BF8" w:rsidRPr="005E2C11" w:rsidRDefault="00547368" w:rsidP="0081283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Procedure codes for heart</w:t>
            </w:r>
            <w:r w:rsidR="00CC7BF8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transplant or VAD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(Class IV angina and CHF were not available)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0.3%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0.3%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0.2%</w:t>
            </w:r>
          </w:p>
        </w:tc>
      </w:tr>
      <w:tr w:rsidR="00CC7BF8" w:rsidRPr="005E2C11" w:rsidTr="006C13B3">
        <w:trPr>
          <w:trHeight w:val="5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Other arrhythmias mandating anti-arrhythmic drug therapy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81283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Diagnosis codes for ventricular arrhythmia in patient who </w:t>
            </w:r>
            <w:r w:rsidR="00812839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were</w:t>
            </w: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treated with an AAD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2.2%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1.9%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7.3%</w:t>
            </w: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lastRenderedPageBreak/>
              <w:t>Heritable arrhythmias or increased risk for torsade de pointes with class I or III drugs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AA1CD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Diagnosis codes for long QT syndrome (specific codes for torsade de pointes and </w:t>
            </w:r>
            <w:proofErr w:type="spellStart"/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Brugada</w:t>
            </w:r>
            <w:proofErr w:type="spellEnd"/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syndrome are not available)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0.9%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0.9%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1.5%</w:t>
            </w:r>
          </w:p>
        </w:tc>
      </w:tr>
      <w:tr w:rsidR="00CC7BF8" w:rsidRPr="005E2C11" w:rsidTr="006C13B3">
        <w:trPr>
          <w:trHeight w:val="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Patients with other arrhythmias requiring ablative therapy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Procedure codes for ablation (except ablation for flutter, i.e., a primary diagnosis of flutter and no other arrhythmias on secondary positions)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1.8%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1.6%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5.1%</w:t>
            </w: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Prior </w:t>
            </w:r>
            <w:r w:rsidR="004B249D" w:rsidRPr="004B249D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atrioventricular</w:t>
            </w: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 nodal ablation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Procedure codes for </w:t>
            </w:r>
            <w:r w:rsidR="00E50E1B" w:rsidRPr="00E50E1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atrioventricular</w:t>
            </w: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nodal ablation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0.3%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0.3%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0.4%</w:t>
            </w:r>
          </w:p>
        </w:tc>
      </w:tr>
      <w:tr w:rsidR="00CC7BF8" w:rsidRPr="005E2C11" w:rsidTr="006C13B3">
        <w:trPr>
          <w:trHeight w:val="1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Prior surgical interventions for AF such as the MAZE procedure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Procedure codes for MAZE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1.3%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1.3%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1.6%</w:t>
            </w: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Contraindication to appropriate anti-coagulation therapy</w:t>
            </w:r>
          </w:p>
        </w:tc>
        <w:tc>
          <w:tcPr>
            <w:tcW w:w="4363" w:type="dxa"/>
            <w:vAlign w:val="center"/>
          </w:tcPr>
          <w:p w:rsidR="00CC7BF8" w:rsidRPr="005E2C11" w:rsidRDefault="00AA1CDA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Diagnosis codes for i</w:t>
            </w:r>
            <w:r w:rsidR="00CC7BF8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ntracranial bleeding, cerebral amyloid </w:t>
            </w:r>
            <w:proofErr w:type="spellStart"/>
            <w:r w:rsidR="00CC7BF8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angiopathy</w:t>
            </w:r>
            <w:proofErr w:type="spellEnd"/>
            <w:r w:rsidR="00CC7BF8"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, and end-stage liver disease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4.1%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4.3%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1.9%</w:t>
            </w:r>
          </w:p>
        </w:tc>
      </w:tr>
      <w:tr w:rsidR="00CC7BF8" w:rsidRPr="005E2C11" w:rsidTr="006C13B3">
        <w:trPr>
          <w:trHeight w:val="1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Renal failure requiring dialysis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Procedure codes for dialysis and diagnosis codes for renal failure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1.6%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1.7%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0.3%</w:t>
            </w:r>
          </w:p>
        </w:tc>
      </w:tr>
      <w:tr w:rsidR="00CC7BF8" w:rsidRPr="005E2C11" w:rsidTr="006C1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05" w:type="dxa"/>
            <w:vAlign w:val="center"/>
          </w:tcPr>
          <w:p w:rsidR="00CC7BF8" w:rsidRPr="005E2C11" w:rsidRDefault="00CC7BF8" w:rsidP="006C13B3">
            <w:pPr>
              <w:jc w:val="center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>Women of childbearing potential (unless post-menopausal or surgically sterile)</w:t>
            </w:r>
          </w:p>
        </w:tc>
        <w:tc>
          <w:tcPr>
            <w:tcW w:w="4363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Women age&lt;45 years</w:t>
            </w:r>
          </w:p>
        </w:tc>
        <w:tc>
          <w:tcPr>
            <w:tcW w:w="1564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0.8%</w:t>
            </w:r>
          </w:p>
        </w:tc>
        <w:tc>
          <w:tcPr>
            <w:tcW w:w="1310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0.8%</w:t>
            </w:r>
          </w:p>
        </w:tc>
        <w:tc>
          <w:tcPr>
            <w:tcW w:w="1275" w:type="dxa"/>
            <w:vAlign w:val="center"/>
          </w:tcPr>
          <w:p w:rsidR="00CC7BF8" w:rsidRPr="005E2C11" w:rsidRDefault="00CC7BF8" w:rsidP="006C13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1.2%</w:t>
            </w:r>
          </w:p>
        </w:tc>
      </w:tr>
    </w:tbl>
    <w:p w:rsidR="0074680E" w:rsidRPr="005E2C11" w:rsidRDefault="0074680E" w:rsidP="0074680E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5E2C11">
        <w:rPr>
          <w:rFonts w:ascii="Times New Roman" w:hAnsi="Times New Roman" w:cs="Times New Roman"/>
          <w:sz w:val="20"/>
          <w:szCs w:val="20"/>
        </w:rPr>
        <w:t>Note: Two CABANA enrollment criteria could not be considered due to lack of availability in our dataset:</w:t>
      </w:r>
      <w:r w:rsidRPr="005E2C11"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  <w:r w:rsidR="004A0D72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reversible causes of </w:t>
      </w:r>
      <w:r w:rsidR="00EF7AB7">
        <w:rPr>
          <w:rFonts w:ascii="Times New Roman" w:eastAsia="Times New Roman" w:hAnsi="Times New Roman" w:cs="Times New Roman"/>
          <w:color w:val="000000"/>
          <w:sz w:val="20"/>
          <w:szCs w:val="20"/>
        </w:rPr>
        <w:t>AF</w:t>
      </w:r>
      <w:r w:rsidRPr="005E2C11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and </w:t>
      </w:r>
      <w:r w:rsidR="004A0D72">
        <w:rPr>
          <w:rFonts w:ascii="Times New Roman" w:eastAsia="Times New Roman" w:hAnsi="Times New Roman" w:cs="Times New Roman"/>
          <w:color w:val="000000"/>
          <w:sz w:val="20"/>
          <w:szCs w:val="20"/>
        </w:rPr>
        <w:t>m</w:t>
      </w:r>
      <w:r w:rsidRPr="005E2C11">
        <w:rPr>
          <w:rFonts w:ascii="Times New Roman" w:eastAsia="Times New Roman" w:hAnsi="Times New Roman" w:cs="Times New Roman"/>
          <w:color w:val="000000"/>
          <w:sz w:val="20"/>
          <w:szCs w:val="20"/>
        </w:rPr>
        <w:t>edical conditions limiting expected survival to &lt;1 year</w:t>
      </w:r>
      <w:r w:rsidR="00E50E1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(all patients in the cohort had </w:t>
      </w:r>
      <w:r w:rsidR="00EF7AB7">
        <w:rPr>
          <w:rFonts w:ascii="Times New Roman" w:eastAsia="Times New Roman" w:hAnsi="Times New Roman" w:cs="Times New Roman"/>
          <w:color w:val="000000"/>
          <w:sz w:val="20"/>
          <w:szCs w:val="20"/>
        </w:rPr>
        <w:t>AF</w:t>
      </w:r>
      <w:r w:rsidR="00E50E1B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diagnosis on at least two different days, and thus, few would have reversible </w:t>
      </w:r>
      <w:r w:rsidR="00EF7AB7">
        <w:rPr>
          <w:rFonts w:ascii="Times New Roman" w:eastAsia="Times New Roman" w:hAnsi="Times New Roman" w:cs="Times New Roman"/>
          <w:color w:val="000000"/>
          <w:sz w:val="20"/>
          <w:szCs w:val="20"/>
        </w:rPr>
        <w:t>AF</w:t>
      </w:r>
      <w:r w:rsidR="00E50E1B">
        <w:rPr>
          <w:rFonts w:ascii="Times New Roman" w:eastAsia="Times New Roman" w:hAnsi="Times New Roman" w:cs="Times New Roman"/>
          <w:color w:val="000000"/>
          <w:sz w:val="20"/>
          <w:szCs w:val="20"/>
        </w:rPr>
        <w:t>)</w:t>
      </w:r>
      <w:r w:rsidR="00D819BB"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:rsidR="009636E2" w:rsidRPr="005E2C11" w:rsidRDefault="009636E2" w:rsidP="009636E2">
      <w:pPr>
        <w:rPr>
          <w:rFonts w:ascii="Times New Roman" w:hAnsi="Times New Roman" w:cs="Times New Roman"/>
          <w:sz w:val="20"/>
          <w:szCs w:val="20"/>
        </w:rPr>
        <w:sectPr w:rsidR="009636E2" w:rsidRPr="005E2C11" w:rsidSect="00C0025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 w:rsidRPr="005E2C11">
        <w:rPr>
          <w:rFonts w:ascii="Times New Roman" w:hAnsi="Times New Roman" w:cs="Times New Roman"/>
          <w:sz w:val="20"/>
          <w:szCs w:val="20"/>
        </w:rPr>
        <w:t>AAD</w:t>
      </w:r>
      <w:r>
        <w:rPr>
          <w:rFonts w:ascii="Times New Roman" w:hAnsi="Times New Roman" w:cs="Times New Roman"/>
          <w:sz w:val="20"/>
          <w:szCs w:val="20"/>
        </w:rPr>
        <w:t xml:space="preserve"> denotes anti-arrhythmic drug, </w:t>
      </w:r>
      <w:r w:rsidR="00E50E1B">
        <w:rPr>
          <w:rFonts w:ascii="Times New Roman" w:hAnsi="Times New Roman" w:cs="Times New Roman"/>
          <w:sz w:val="20"/>
          <w:szCs w:val="20"/>
        </w:rPr>
        <w:t xml:space="preserve">AF atrial fibrillation, </w:t>
      </w:r>
      <w:r>
        <w:rPr>
          <w:rFonts w:ascii="Times New Roman" w:hAnsi="Times New Roman" w:cs="Times New Roman"/>
          <w:sz w:val="20"/>
          <w:szCs w:val="20"/>
        </w:rPr>
        <w:t>CHF, congestive heart failure, LA, left atrium,</w:t>
      </w:r>
      <w:r w:rsidRPr="005E2C11">
        <w:rPr>
          <w:rFonts w:ascii="Times New Roman" w:hAnsi="Times New Roman" w:cs="Times New Roman"/>
          <w:sz w:val="20"/>
          <w:szCs w:val="20"/>
        </w:rPr>
        <w:t xml:space="preserve"> </w:t>
      </w:r>
      <w:r w:rsidR="004102E2">
        <w:rPr>
          <w:rFonts w:ascii="Times New Roman" w:hAnsi="Times New Roman"/>
          <w:sz w:val="20"/>
          <w:szCs w:val="20"/>
        </w:rPr>
        <w:t xml:space="preserve">MI </w:t>
      </w:r>
      <w:r w:rsidR="004102E2" w:rsidRPr="00791790">
        <w:rPr>
          <w:rFonts w:ascii="Times New Roman" w:hAnsi="Times New Roman"/>
          <w:sz w:val="20"/>
          <w:szCs w:val="20"/>
        </w:rPr>
        <w:t>myocardial infarction</w:t>
      </w:r>
      <w:r w:rsidR="004102E2">
        <w:rPr>
          <w:rFonts w:ascii="Times New Roman" w:hAnsi="Times New Roman"/>
          <w:sz w:val="20"/>
          <w:szCs w:val="20"/>
        </w:rPr>
        <w:t xml:space="preserve">, PCI </w:t>
      </w:r>
      <w:r w:rsidR="004102E2" w:rsidRPr="001E6C4F">
        <w:rPr>
          <w:rFonts w:ascii="Times New Roman" w:hAnsi="Times New Roman" w:cs="Times New Roman"/>
          <w:sz w:val="20"/>
          <w:szCs w:val="20"/>
        </w:rPr>
        <w:t>per</w:t>
      </w:r>
      <w:r w:rsidR="004102E2">
        <w:rPr>
          <w:rFonts w:ascii="Times New Roman" w:hAnsi="Times New Roman" w:cs="Times New Roman"/>
          <w:sz w:val="20"/>
          <w:szCs w:val="20"/>
        </w:rPr>
        <w:t>cutaneous coronary intervention</w:t>
      </w:r>
      <w:r w:rsidR="004006AD">
        <w:rPr>
          <w:rFonts w:ascii="Times New Roman" w:hAnsi="Times New Roman" w:cs="Times New Roman"/>
          <w:sz w:val="20"/>
          <w:szCs w:val="20"/>
        </w:rPr>
        <w:t>,</w:t>
      </w:r>
      <w:r w:rsidR="004102E2" w:rsidRPr="001E6C4F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TIA </w:t>
      </w:r>
      <w:r w:rsidRPr="001E6C4F">
        <w:rPr>
          <w:rFonts w:ascii="Times New Roman" w:hAnsi="Times New Roman" w:cs="Times New Roman"/>
          <w:sz w:val="20"/>
          <w:szCs w:val="20"/>
        </w:rPr>
        <w:t>transient ischemic attack</w:t>
      </w:r>
      <w:r>
        <w:rPr>
          <w:rFonts w:ascii="Times New Roman" w:hAnsi="Times New Roman" w:cs="Times New Roman"/>
          <w:sz w:val="20"/>
          <w:szCs w:val="20"/>
        </w:rPr>
        <w:t xml:space="preserve">, and </w:t>
      </w:r>
      <w:r w:rsidRPr="005E2C11">
        <w:rPr>
          <w:rFonts w:ascii="Times New Roman" w:hAnsi="Times New Roman" w:cs="Times New Roman"/>
          <w:sz w:val="20"/>
          <w:szCs w:val="20"/>
        </w:rPr>
        <w:t>VAD, ventricular assist device.</w:t>
      </w:r>
    </w:p>
    <w:p w:rsidR="006D0B2D" w:rsidRPr="005E2C11" w:rsidRDefault="00AF6138" w:rsidP="006D0B2D">
      <w:pPr>
        <w:rPr>
          <w:rFonts w:ascii="Times New Roman" w:hAnsi="Times New Roman" w:cs="Times New Roman"/>
          <w:b/>
          <w:sz w:val="24"/>
        </w:rPr>
      </w:pPr>
      <w:r w:rsidRPr="005E2C11">
        <w:rPr>
          <w:rFonts w:ascii="Times New Roman" w:hAnsi="Times New Roman" w:cs="Times New Roman"/>
          <w:b/>
          <w:sz w:val="24"/>
        </w:rPr>
        <w:lastRenderedPageBreak/>
        <w:t xml:space="preserve">Table </w:t>
      </w:r>
      <w:r w:rsidR="008D4509">
        <w:rPr>
          <w:rFonts w:ascii="Times New Roman" w:hAnsi="Times New Roman" w:cs="Times New Roman"/>
          <w:b/>
          <w:sz w:val="24"/>
        </w:rPr>
        <w:t>S</w:t>
      </w:r>
      <w:r w:rsidR="00444F8F" w:rsidRPr="005E2C11">
        <w:rPr>
          <w:rFonts w:ascii="Times New Roman" w:hAnsi="Times New Roman" w:cs="Times New Roman"/>
          <w:b/>
          <w:sz w:val="24"/>
        </w:rPr>
        <w:t>3</w:t>
      </w:r>
      <w:r w:rsidRPr="005E2C11">
        <w:rPr>
          <w:rFonts w:ascii="Times New Roman" w:hAnsi="Times New Roman" w:cs="Times New Roman"/>
          <w:b/>
          <w:sz w:val="24"/>
        </w:rPr>
        <w:t xml:space="preserve">. </w:t>
      </w:r>
      <w:r w:rsidR="00396587" w:rsidRPr="00396587">
        <w:rPr>
          <w:rFonts w:ascii="Times New Roman" w:hAnsi="Times New Roman" w:cs="Times New Roman"/>
          <w:b/>
          <w:sz w:val="24"/>
        </w:rPr>
        <w:t xml:space="preserve">Complete List of Baseline Characteristics </w:t>
      </w:r>
      <w:r w:rsidR="00396587">
        <w:rPr>
          <w:rFonts w:ascii="Times New Roman" w:hAnsi="Times New Roman" w:cs="Times New Roman"/>
          <w:b/>
          <w:sz w:val="24"/>
        </w:rPr>
        <w:t>B</w:t>
      </w:r>
      <w:r w:rsidR="00396587" w:rsidRPr="00396587">
        <w:rPr>
          <w:rFonts w:ascii="Times New Roman" w:hAnsi="Times New Roman" w:cs="Times New Roman"/>
          <w:b/>
          <w:sz w:val="24"/>
        </w:rPr>
        <w:t xml:space="preserve">efore and </w:t>
      </w:r>
      <w:r w:rsidR="00396587">
        <w:rPr>
          <w:rFonts w:ascii="Times New Roman" w:hAnsi="Times New Roman" w:cs="Times New Roman"/>
          <w:b/>
          <w:sz w:val="24"/>
        </w:rPr>
        <w:t>A</w:t>
      </w:r>
      <w:r w:rsidR="00396587" w:rsidRPr="00396587">
        <w:rPr>
          <w:rFonts w:ascii="Times New Roman" w:hAnsi="Times New Roman" w:cs="Times New Roman"/>
          <w:b/>
          <w:sz w:val="24"/>
        </w:rPr>
        <w:t>fter PS Weighting</w:t>
      </w:r>
      <w:r w:rsidR="00D77C8E">
        <w:rPr>
          <w:rFonts w:ascii="Times New Roman" w:hAnsi="Times New Roman" w:cs="Times New Roman"/>
          <w:b/>
          <w:sz w:val="24"/>
        </w:rPr>
        <w:t xml:space="preserve"> In the Overall Cohort</w:t>
      </w:r>
    </w:p>
    <w:tbl>
      <w:tblPr>
        <w:tblW w:w="12516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88"/>
        <w:gridCol w:w="1538"/>
        <w:gridCol w:w="1538"/>
        <w:gridCol w:w="1538"/>
        <w:gridCol w:w="1538"/>
        <w:gridCol w:w="1318"/>
        <w:gridCol w:w="1758"/>
      </w:tblGrid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single" w:sz="4" w:space="0" w:color="auto"/>
              <w:bottom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4614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Before PS weighting</w:t>
            </w:r>
          </w:p>
        </w:tc>
        <w:tc>
          <w:tcPr>
            <w:tcW w:w="46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After PS Weighting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single" w:sz="4" w:space="0" w:color="auto"/>
            </w:tcBorders>
            <w:noWrap/>
            <w:vAlign w:val="center"/>
            <w:hideMark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(N=171,728)</w:t>
            </w:r>
          </w:p>
        </w:tc>
        <w:tc>
          <w:tcPr>
            <w:tcW w:w="15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(N=12,032)</w:t>
            </w:r>
          </w:p>
        </w:tc>
        <w:tc>
          <w:tcPr>
            <w:tcW w:w="15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Total</w:t>
            </w:r>
          </w:p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(N=183,760)</w:t>
            </w:r>
          </w:p>
        </w:tc>
        <w:tc>
          <w:tcPr>
            <w:tcW w:w="1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(N=171,728)</w:t>
            </w:r>
          </w:p>
        </w:tc>
        <w:tc>
          <w:tcPr>
            <w:tcW w:w="13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(N=12,032)</w:t>
            </w:r>
          </w:p>
        </w:tc>
        <w:tc>
          <w:tcPr>
            <w:tcW w:w="175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Standard Mean Difference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single" w:sz="4" w:space="0" w:color="auto"/>
            </w:tcBorders>
            <w:noWrap/>
            <w:vAlign w:val="center"/>
            <w:hideMark/>
          </w:tcPr>
          <w:p w:rsidR="006D0B2D" w:rsidRPr="005E2C11" w:rsidRDefault="006D0B2D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Age, year, Mean</w:t>
            </w:r>
          </w:p>
        </w:tc>
        <w:tc>
          <w:tcPr>
            <w:tcW w:w="1538" w:type="dxa"/>
            <w:tcBorders>
              <w:top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70.7±11.7</w:t>
            </w:r>
          </w:p>
        </w:tc>
        <w:tc>
          <w:tcPr>
            <w:tcW w:w="1538" w:type="dxa"/>
            <w:tcBorders>
              <w:top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62.0±10.9</w:t>
            </w:r>
          </w:p>
        </w:tc>
        <w:tc>
          <w:tcPr>
            <w:tcW w:w="153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70.1±11.9</w:t>
            </w:r>
          </w:p>
        </w:tc>
        <w:tc>
          <w:tcPr>
            <w:tcW w:w="153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63.7±11.9</w:t>
            </w:r>
          </w:p>
        </w:tc>
        <w:tc>
          <w:tcPr>
            <w:tcW w:w="1318" w:type="dxa"/>
            <w:tcBorders>
              <w:top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63.7±11.1</w:t>
            </w:r>
          </w:p>
        </w:tc>
        <w:tc>
          <w:tcPr>
            <w:tcW w:w="1758" w:type="dxa"/>
            <w:tcBorders>
              <w:top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18-64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27.6%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58.4%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29.7%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50.7%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50.7%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65-74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28.1%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29.6%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28.2%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32.4%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32.4%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≥75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44.2%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12.0%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42.1%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16.9%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16.9%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Female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45.0%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31.0%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44.1%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34.5%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34.5%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Race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Asian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1.8%</w:t>
            </w:r>
          </w:p>
        </w:tc>
        <w:tc>
          <w:tcPr>
            <w:tcW w:w="1538" w:type="dxa"/>
            <w:tcBorders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Black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6.0%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9.5%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Hispanic/Latino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4.9%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White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79.5%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84.7%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79.9%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83.6%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83.6%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Other/Unknown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Geographic Region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Midwest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33.5%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31.5%</w:t>
            </w:r>
          </w:p>
        </w:tc>
        <w:tc>
          <w:tcPr>
            <w:tcW w:w="1538" w:type="dxa"/>
            <w:tcBorders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33.3%</w:t>
            </w:r>
          </w:p>
        </w:tc>
        <w:tc>
          <w:tcPr>
            <w:tcW w:w="1538" w:type="dxa"/>
            <w:tcBorders>
              <w:lef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31.7%</w:t>
            </w:r>
          </w:p>
        </w:tc>
        <w:tc>
          <w:tcPr>
            <w:tcW w:w="131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31.7%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Northeast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14.5%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538" w:type="dxa"/>
            <w:tcBorders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538" w:type="dxa"/>
            <w:tcBorders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318" w:type="dxa"/>
            <w:tcBorders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South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41.7%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44.7%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44.6%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West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10.6%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13.2%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13.2%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Medical History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AF hospitalization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55.4%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53.3%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52.2%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52.2%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120" w:firstLine="5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Atrial flutter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19.7%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42.1%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37.9%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37.9%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351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210" w:hanging="3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 supraventricular arrhythmia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10.3%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Ventricular arrhythmia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17.6%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17.6%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ablation for atrial flutter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Heart failure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45.6%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32.3%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44.7%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34.5%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34.5%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bottom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Systolic heart failure</w:t>
            </w:r>
          </w:p>
        </w:tc>
        <w:tc>
          <w:tcPr>
            <w:tcW w:w="1538" w:type="dxa"/>
            <w:tcBorders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17.9%</w:t>
            </w:r>
          </w:p>
        </w:tc>
        <w:tc>
          <w:tcPr>
            <w:tcW w:w="1538" w:type="dxa"/>
            <w:tcBorders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12.4%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17.6%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13.2%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13.2%</w:t>
            </w:r>
          </w:p>
        </w:tc>
        <w:tc>
          <w:tcPr>
            <w:tcW w:w="1758" w:type="dxa"/>
            <w:tcBorders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Hypertension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89.4%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89.0%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Diabetes mellitus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36.7%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27.5%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27.5%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Thromboembolism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lastRenderedPageBreak/>
              <w:t>Stroke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Ischemic stroke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TIA</w:t>
            </w:r>
          </w:p>
        </w:tc>
        <w:tc>
          <w:tcPr>
            <w:tcW w:w="1538" w:type="dxa"/>
            <w:tcBorders>
              <w:top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12.0%</w:t>
            </w:r>
          </w:p>
        </w:tc>
        <w:tc>
          <w:tcPr>
            <w:tcW w:w="1538" w:type="dxa"/>
            <w:tcBorders>
              <w:top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7.9%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11.7%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9.0%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9.0%</w:t>
            </w:r>
          </w:p>
        </w:tc>
        <w:tc>
          <w:tcPr>
            <w:tcW w:w="1758" w:type="dxa"/>
            <w:tcBorders>
              <w:top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Coronary Artery Disease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59.4%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54.1%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59.0%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55.8%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55.8%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Peripheral Artery Disease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8.7%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8.7%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CAD or PAD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62.2%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55.3%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61.7%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57.1%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57.1%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Myocardial infarction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23.0%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15.9%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15.9%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CABG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14.6%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6.9%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8.3%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8.3%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PCI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13.8%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11.1%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13.6%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12.1%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Left ventricular hypertrophy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34.1%</w:t>
            </w:r>
          </w:p>
        </w:tc>
        <w:tc>
          <w:tcPr>
            <w:tcW w:w="153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35.5%</w:t>
            </w: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34.8%</w:t>
            </w: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34.8%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Cardiomyopathy</w:t>
            </w:r>
          </w:p>
        </w:tc>
        <w:tc>
          <w:tcPr>
            <w:tcW w:w="1538" w:type="dxa"/>
            <w:tcBorders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None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79.2%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76.3%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79.0%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76.6%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76.6%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Hypertrophic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Ischemic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Dilated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17.8%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Implanted device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None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Biventricular or CRT Pacemaker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1.0%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ICD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Dual Chamber Pacemaker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6.4%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Single Chamber Pacemaker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2.5%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ILR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Valve disease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52.8%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59.2%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58.0%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valve procedure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Mitral stenosis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Mitral regurgitation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48.4%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48.4%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Major bleeding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24.4%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Intracranial bleeding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Stage 3-5 CKD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17.0%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758" w:type="dxa"/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bottom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Liver disease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758" w:type="dxa"/>
            <w:tcBorders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Non skin cancer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14.5%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14.5%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Fall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lastRenderedPageBreak/>
              <w:t>Anemia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54.0%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52.8%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Alcoholism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Smoking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32.5%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Dementia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Hypothyroidism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26.8%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Thyrotoxicosis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Esophageal disease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49.5%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49.2%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44.6%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Obesity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COPD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Obstructive sleep apnea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32.5%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32.5%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Hyperlipidemia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81.4%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82.3%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82.3%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Cardioversion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37.9%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37.9%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Osteoporosis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Pneumonia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Fracture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Previous Drug Treatment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rate control drugs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27.3%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27.3%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≥3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AADs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80.7%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37.6%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49.1%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15.7%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45.8%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13.4%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left="39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≥3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Concurrent Medication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Oral anticoagulant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60.6%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60.6%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 xml:space="preserve">ACE </w:t>
            </w: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inhibitors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ARB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Thiazides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calcium channel blockers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lastRenderedPageBreak/>
              <w:t>Diuretics—aldosterone ant.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antihypertensive drugs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22.4%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Statin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37.6%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38.8%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Insulin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6.6%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Metformin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antidiabetic drugs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Antiplatelet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NSAIDs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Antiulcer agents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F2760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Antidepressant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C6514F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CHA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DS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-VASc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4.4±2.1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3.1±1.9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4.3±2.1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3.4±1.9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3.4±2.0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D0B2D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D0B2D" w:rsidRPr="005E2C11" w:rsidRDefault="006D0B2D" w:rsidP="00C6514F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Baseline period duration, yr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4.4±3.4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4.5±3.3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4.4±3.4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4.4±3.3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D0B2D" w:rsidRPr="005E2C11" w:rsidRDefault="006D0B2D" w:rsidP="00C6514F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4.4±3.2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D0B2D" w:rsidRPr="005E2C11" w:rsidRDefault="006D0B2D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606938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606938" w:rsidRPr="005E2C11" w:rsidRDefault="00606938" w:rsidP="00C6514F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sz w:val="20"/>
                <w:szCs w:val="20"/>
              </w:rPr>
              <w:t>Trial Eligibility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06938" w:rsidRPr="005E2C11" w:rsidRDefault="00606938" w:rsidP="00C6514F">
            <w:pPr>
              <w:pStyle w:val="a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06938" w:rsidRPr="005E2C11" w:rsidRDefault="00606938" w:rsidP="00C6514F">
            <w:pPr>
              <w:pStyle w:val="a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06938" w:rsidRPr="005E2C11" w:rsidRDefault="00606938" w:rsidP="00C6514F">
            <w:pPr>
              <w:pStyle w:val="a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606938" w:rsidRPr="005E2C11" w:rsidRDefault="00606938" w:rsidP="00C6514F">
            <w:pPr>
              <w:pStyle w:val="a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06938" w:rsidRPr="005E2C11" w:rsidRDefault="00606938" w:rsidP="00C6514F">
            <w:pPr>
              <w:pStyle w:val="a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606938" w:rsidRPr="005E2C11" w:rsidRDefault="00606938" w:rsidP="00C6514F">
            <w:pPr>
              <w:pStyle w:val="a3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Ineligible for CABANA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25.0%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32.8%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32.8%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Failed to meet inclusion criteria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Met one of the exclusion criteria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MI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PCI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CABG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valve surgery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HCM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0.5%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9278E7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9278E7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9278E7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Heart transplant or VAD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29415F" w:rsidP="00887C14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Other arrhythmias</w:t>
            </w:r>
            <w:r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 xml:space="preserve"> </w:t>
            </w:r>
            <w:r w:rsidR="00887C14"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requiring AAD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887C14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Long QT syndrome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887C14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arrhythmia requiring ablation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887C14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Prior AV nodal ablation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0.4%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Maze procedure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Contraindication to anticoagulation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2.5%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2.5%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Renal failure requiring dialysis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Women of childbearing potential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C6514F">
            <w:pPr>
              <w:pStyle w:val="a3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Index year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2009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3.5%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lastRenderedPageBreak/>
              <w:t>2010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2011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13.0%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13.0%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2012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15.9%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15.9%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2013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2014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2015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17.3%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18.8%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2016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C6514F">
            <w:pPr>
              <w:pStyle w:val="a3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CHADS</w:t>
            </w: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2.6±1.5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1.8±1.3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2.6±1.5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2.0±1.3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2.0±1.4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F101C2">
            <w:pPr>
              <w:pStyle w:val="a3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C6514F">
            <w:pPr>
              <w:pStyle w:val="a3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Health Utilization Within Past 12 Months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C6514F">
            <w:pPr>
              <w:pStyle w:val="a3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101C2" w:rsidRPr="005E2C11" w:rsidTr="00C6514F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emergency room visits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1.6±2.2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1.2±2.0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1.6±2.2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1.3±2.6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1.3±2.2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F101C2">
        <w:trPr>
          <w:trHeight w:val="288"/>
          <w:jc w:val="center"/>
        </w:trPr>
        <w:tc>
          <w:tcPr>
            <w:tcW w:w="3288" w:type="dxa"/>
            <w:tcBorders>
              <w:top w:val="nil"/>
              <w:bottom w:val="nil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inpatient stays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1.0±1.2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0.6±1.0</w:t>
            </w:r>
          </w:p>
        </w:tc>
        <w:tc>
          <w:tcPr>
            <w:tcW w:w="15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1.0±1.2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0.7±1.0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0.7±1.1</w:t>
            </w:r>
          </w:p>
        </w:tc>
        <w:tc>
          <w:tcPr>
            <w:tcW w:w="1758" w:type="dxa"/>
            <w:tcBorders>
              <w:top w:val="nil"/>
              <w:left w:val="nil"/>
              <w:bottom w:val="nil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F101C2" w:rsidRPr="005E2C11" w:rsidTr="00F101C2">
        <w:trPr>
          <w:trHeight w:val="288"/>
          <w:jc w:val="center"/>
        </w:trPr>
        <w:tc>
          <w:tcPr>
            <w:tcW w:w="3288" w:type="dxa"/>
            <w:tcBorders>
              <w:top w:val="nil"/>
              <w:bottom w:val="single" w:sz="4" w:space="0" w:color="auto"/>
              <w:right w:val="nil"/>
            </w:tcBorders>
            <w:noWrap/>
            <w:vAlign w:val="center"/>
          </w:tcPr>
          <w:p w:rsidR="00F101C2" w:rsidRPr="005E2C11" w:rsidRDefault="00F101C2" w:rsidP="00423B55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days in hospitalization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8.2±14.0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2.8±6.2</w:t>
            </w:r>
          </w:p>
        </w:tc>
        <w:tc>
          <w:tcPr>
            <w:tcW w:w="15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7.9±13.7</w:t>
            </w:r>
          </w:p>
        </w:tc>
        <w:tc>
          <w:tcPr>
            <w:tcW w:w="15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3.3±6.2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01C2" w:rsidRPr="005E2C11" w:rsidRDefault="00F101C2" w:rsidP="00C6514F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3.3±7.3</w:t>
            </w:r>
          </w:p>
        </w:tc>
        <w:tc>
          <w:tcPr>
            <w:tcW w:w="1758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F101C2" w:rsidRPr="005E2C11" w:rsidRDefault="00F101C2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</w:tbl>
    <w:p w:rsidR="00416821" w:rsidRPr="005E2C11" w:rsidRDefault="00FA2211" w:rsidP="006D0B2D">
      <w:pPr>
        <w:rPr>
          <w:rFonts w:ascii="Times New Roman" w:hAnsi="Times New Roman" w:cs="Times New Roman"/>
          <w:sz w:val="20"/>
          <w:szCs w:val="20"/>
        </w:rPr>
      </w:pPr>
      <w:r w:rsidRPr="005E2C11">
        <w:rPr>
          <w:rFonts w:ascii="Times New Roman" w:hAnsi="Times New Roman" w:cs="Times New Roman"/>
          <w:sz w:val="20"/>
          <w:szCs w:val="20"/>
        </w:rPr>
        <w:t>AAD</w:t>
      </w:r>
      <w:r>
        <w:rPr>
          <w:rFonts w:ascii="Times New Roman" w:hAnsi="Times New Roman" w:cs="Times New Roman"/>
          <w:sz w:val="20"/>
          <w:szCs w:val="20"/>
        </w:rPr>
        <w:t xml:space="preserve"> denotes anti-arrhythmic drug, </w:t>
      </w:r>
      <w:r w:rsidR="00416821">
        <w:rPr>
          <w:rFonts w:ascii="Times New Roman" w:hAnsi="Times New Roman" w:cs="Times New Roman"/>
          <w:sz w:val="20"/>
          <w:szCs w:val="20"/>
        </w:rPr>
        <w:t xml:space="preserve">ACE </w:t>
      </w:r>
      <w:r w:rsidR="005B3454">
        <w:rPr>
          <w:rFonts w:ascii="Times New Roman" w:hAnsi="Times New Roman" w:cs="Times New Roman"/>
          <w:sz w:val="20"/>
          <w:szCs w:val="20"/>
        </w:rPr>
        <w:t xml:space="preserve">angiotensin-converting enzyme, </w:t>
      </w:r>
      <w:r w:rsidR="00416821">
        <w:rPr>
          <w:rFonts w:ascii="Times New Roman" w:hAnsi="Times New Roman" w:cs="Times New Roman"/>
          <w:sz w:val="20"/>
          <w:szCs w:val="20"/>
        </w:rPr>
        <w:t>AF atrial fibrillation, ARB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angiotensin II receptor blockers</w:t>
      </w:r>
      <w:r w:rsidR="00416821">
        <w:rPr>
          <w:rFonts w:ascii="Times New Roman" w:hAnsi="Times New Roman" w:cs="Times New Roman"/>
          <w:sz w:val="20"/>
          <w:szCs w:val="20"/>
        </w:rPr>
        <w:t>, CABG c</w:t>
      </w:r>
      <w:r w:rsidR="006D0B2D" w:rsidRPr="005E2C11">
        <w:rPr>
          <w:rFonts w:ascii="Times New Roman" w:hAnsi="Times New Roman" w:cs="Times New Roman"/>
          <w:sz w:val="20"/>
          <w:szCs w:val="20"/>
        </w:rPr>
        <w:t>oronary artery bypass graft</w:t>
      </w:r>
      <w:r w:rsidR="00416821">
        <w:rPr>
          <w:rFonts w:ascii="Times New Roman" w:hAnsi="Times New Roman" w:cs="Times New Roman"/>
          <w:sz w:val="20"/>
          <w:szCs w:val="20"/>
        </w:rPr>
        <w:t>ing, CAD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</w:t>
      </w:r>
      <w:r w:rsidR="006D0B2D" w:rsidRPr="005E2C11">
        <w:rPr>
          <w:rFonts w:ascii="Times New Roman" w:eastAsia="SimSun" w:hAnsi="Times New Roman" w:cs="Times New Roman"/>
          <w:sz w:val="20"/>
          <w:szCs w:val="20"/>
        </w:rPr>
        <w:t>coronary artery disease</w:t>
      </w:r>
      <w:r w:rsidR="00416821">
        <w:rPr>
          <w:rFonts w:ascii="Times New Roman" w:eastAsia="SimSun" w:hAnsi="Times New Roman" w:cs="Times New Roman"/>
          <w:sz w:val="20"/>
          <w:szCs w:val="20"/>
        </w:rPr>
        <w:t>,</w:t>
      </w:r>
      <w:r w:rsidR="00416821">
        <w:rPr>
          <w:rFonts w:ascii="Times New Roman" w:hAnsi="Times New Roman" w:cs="Times New Roman"/>
          <w:sz w:val="20"/>
          <w:szCs w:val="20"/>
        </w:rPr>
        <w:t xml:space="preserve"> CKD chronic kidney disease, COPD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chroni</w:t>
      </w:r>
      <w:r w:rsidR="00416821">
        <w:rPr>
          <w:rFonts w:ascii="Times New Roman" w:hAnsi="Times New Roman" w:cs="Times New Roman"/>
          <w:sz w:val="20"/>
          <w:szCs w:val="20"/>
        </w:rPr>
        <w:t>c obstructive pulmonary disease, CRT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ca</w:t>
      </w:r>
      <w:r w:rsidR="00416821">
        <w:rPr>
          <w:rFonts w:ascii="Times New Roman" w:hAnsi="Times New Roman" w:cs="Times New Roman"/>
          <w:sz w:val="20"/>
          <w:szCs w:val="20"/>
        </w:rPr>
        <w:t>rdiac resynchronization therapy,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</w:t>
      </w:r>
      <w:r w:rsidR="00416821">
        <w:rPr>
          <w:rFonts w:ascii="Times New Roman" w:hAnsi="Times New Roman" w:cs="Times New Roman"/>
          <w:sz w:val="20"/>
          <w:szCs w:val="20"/>
        </w:rPr>
        <w:t>HCM hypertrophic cardiomyopathy,</w:t>
      </w:r>
      <w:r w:rsidR="00002DA4" w:rsidRPr="005E2C11">
        <w:rPr>
          <w:rFonts w:ascii="Times New Roman" w:hAnsi="Times New Roman" w:cs="Times New Roman"/>
          <w:sz w:val="20"/>
          <w:szCs w:val="20"/>
        </w:rPr>
        <w:t xml:space="preserve"> </w:t>
      </w:r>
      <w:r w:rsidR="00416821">
        <w:rPr>
          <w:rFonts w:ascii="Times New Roman" w:hAnsi="Times New Roman" w:cs="Times New Roman"/>
          <w:sz w:val="20"/>
          <w:szCs w:val="20"/>
        </w:rPr>
        <w:t>ICD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implanta</w:t>
      </w:r>
      <w:r w:rsidR="00416821">
        <w:rPr>
          <w:rFonts w:ascii="Times New Roman" w:hAnsi="Times New Roman" w:cs="Times New Roman"/>
          <w:sz w:val="20"/>
          <w:szCs w:val="20"/>
        </w:rPr>
        <w:t>ble cardioverter defibrillators, ILR implantable loop recorder, NSAID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nonsteroidal anti-infl</w:t>
      </w:r>
      <w:r w:rsidR="00416821">
        <w:rPr>
          <w:rFonts w:ascii="Times New Roman" w:hAnsi="Times New Roman" w:cs="Times New Roman"/>
          <w:sz w:val="20"/>
          <w:szCs w:val="20"/>
        </w:rPr>
        <w:t>ammatory drug, PAD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</w:t>
      </w:r>
      <w:r w:rsidR="00416821">
        <w:rPr>
          <w:rFonts w:ascii="Times New Roman" w:eastAsia="SimSun" w:hAnsi="Times New Roman" w:cs="Times New Roman"/>
          <w:sz w:val="20"/>
          <w:szCs w:val="20"/>
        </w:rPr>
        <w:t>peripheral artery disease,</w:t>
      </w:r>
      <w:r w:rsidR="00416821">
        <w:rPr>
          <w:rFonts w:ascii="Times New Roman" w:hAnsi="Times New Roman" w:cs="Times New Roman"/>
          <w:sz w:val="20"/>
          <w:szCs w:val="20"/>
        </w:rPr>
        <w:t xml:space="preserve"> PCI</w:t>
      </w:r>
      <w:r w:rsidR="006D0B2D" w:rsidRPr="005E2C11">
        <w:rPr>
          <w:rFonts w:ascii="Times New Roman" w:hAnsi="Times New Roman" w:cs="Times New Roman"/>
          <w:sz w:val="20"/>
          <w:szCs w:val="20"/>
        </w:rPr>
        <w:t xml:space="preserve"> per</w:t>
      </w:r>
      <w:r w:rsidR="00416821">
        <w:rPr>
          <w:rFonts w:ascii="Times New Roman" w:hAnsi="Times New Roman" w:cs="Times New Roman"/>
          <w:sz w:val="20"/>
          <w:szCs w:val="20"/>
        </w:rPr>
        <w:t>cutaneous coronary intervention, PS propensity score, TIA</w:t>
      </w:r>
      <w:r w:rsidR="0029415F">
        <w:rPr>
          <w:rFonts w:ascii="Times New Roman" w:hAnsi="Times New Roman" w:cs="Times New Roman"/>
          <w:sz w:val="20"/>
          <w:szCs w:val="20"/>
        </w:rPr>
        <w:t xml:space="preserve"> transient ischemic attack</w:t>
      </w:r>
      <w:r w:rsidR="00887C14" w:rsidRPr="005E2C11">
        <w:rPr>
          <w:rFonts w:ascii="Times New Roman" w:hAnsi="Times New Roman" w:cs="Times New Roman"/>
          <w:sz w:val="20"/>
          <w:szCs w:val="20"/>
        </w:rPr>
        <w:t>.</w:t>
      </w:r>
    </w:p>
    <w:p w:rsidR="006D0B2D" w:rsidRDefault="006D0B2D" w:rsidP="006D0B2D">
      <w:pPr>
        <w:rPr>
          <w:rFonts w:ascii="Times New Roman" w:hAnsi="Times New Roman" w:cs="Times New Roman"/>
          <w:sz w:val="20"/>
          <w:szCs w:val="20"/>
        </w:rPr>
      </w:pPr>
      <w:r w:rsidRPr="005E2C11">
        <w:rPr>
          <w:rFonts w:ascii="Times New Roman" w:hAnsi="Times New Roman" w:cs="Times New Roman"/>
          <w:sz w:val="20"/>
          <w:szCs w:val="20"/>
        </w:rPr>
        <w:t>The CHA</w:t>
      </w:r>
      <w:r w:rsidRPr="005E2C11">
        <w:rPr>
          <w:rFonts w:ascii="Times New Roman" w:hAnsi="Times New Roman" w:cs="Times New Roman"/>
          <w:sz w:val="20"/>
          <w:szCs w:val="20"/>
          <w:vertAlign w:val="subscript"/>
        </w:rPr>
        <w:t>2</w:t>
      </w:r>
      <w:r w:rsidRPr="005E2C11">
        <w:rPr>
          <w:rFonts w:ascii="Times New Roman" w:hAnsi="Times New Roman" w:cs="Times New Roman"/>
          <w:sz w:val="20"/>
          <w:szCs w:val="20"/>
        </w:rPr>
        <w:t>DS</w:t>
      </w:r>
      <w:r w:rsidRPr="005E2C11">
        <w:rPr>
          <w:rFonts w:ascii="Times New Roman" w:hAnsi="Times New Roman" w:cs="Times New Roman"/>
          <w:sz w:val="20"/>
          <w:szCs w:val="20"/>
          <w:vertAlign w:val="subscript"/>
        </w:rPr>
        <w:t>2</w:t>
      </w:r>
      <w:r w:rsidRPr="005E2C11">
        <w:rPr>
          <w:rFonts w:ascii="Times New Roman" w:hAnsi="Times New Roman" w:cs="Times New Roman"/>
          <w:sz w:val="20"/>
          <w:szCs w:val="20"/>
        </w:rPr>
        <w:t xml:space="preserve">-VASc score is a 0- to 9-point stroke risk score where a higher point score indicates higher risk of stroke. The point score is calculated as follows: 1 point each for heart failure, hypertension, diabetes, vascular disease, age 65 to 74 years, and female sex and 2 points for age 75 years or older and prior </w:t>
      </w:r>
      <w:r w:rsidR="005B3454" w:rsidRPr="005E2C11">
        <w:rPr>
          <w:rFonts w:ascii="Times New Roman" w:hAnsi="Times New Roman" w:cs="Times New Roman"/>
          <w:sz w:val="20"/>
          <w:szCs w:val="20"/>
        </w:rPr>
        <w:t xml:space="preserve">thromboembolism </w:t>
      </w:r>
      <w:r w:rsidR="005B3454">
        <w:rPr>
          <w:rFonts w:ascii="Times New Roman" w:hAnsi="Times New Roman" w:cs="Times New Roman"/>
          <w:sz w:val="20"/>
          <w:szCs w:val="20"/>
        </w:rPr>
        <w:t xml:space="preserve">(including ischemic </w:t>
      </w:r>
      <w:r w:rsidRPr="005E2C11">
        <w:rPr>
          <w:rFonts w:ascii="Times New Roman" w:hAnsi="Times New Roman" w:cs="Times New Roman"/>
          <w:sz w:val="20"/>
          <w:szCs w:val="20"/>
        </w:rPr>
        <w:t>stroke, TIA or</w:t>
      </w:r>
      <w:r w:rsidR="005B3454">
        <w:rPr>
          <w:rFonts w:ascii="Times New Roman" w:hAnsi="Times New Roman" w:cs="Times New Roman"/>
          <w:sz w:val="20"/>
          <w:szCs w:val="20"/>
        </w:rPr>
        <w:t xml:space="preserve"> systemic embolism</w:t>
      </w:r>
      <w:r w:rsidR="00AC26D3">
        <w:rPr>
          <w:rFonts w:ascii="Times New Roman" w:hAnsi="Times New Roman" w:cs="Times New Roman"/>
          <w:sz w:val="20"/>
          <w:szCs w:val="20"/>
        </w:rPr>
        <w:t>)</w:t>
      </w:r>
      <w:r w:rsidRPr="005E2C11">
        <w:rPr>
          <w:rFonts w:ascii="Times New Roman" w:hAnsi="Times New Roman" w:cs="Times New Roman"/>
          <w:sz w:val="20"/>
          <w:szCs w:val="20"/>
        </w:rPr>
        <w:t>.</w:t>
      </w:r>
    </w:p>
    <w:p w:rsidR="00AC26D3" w:rsidRDefault="00FD125C" w:rsidP="00AC26D3">
      <w:pPr>
        <w:rPr>
          <w:rFonts w:ascii="Times New Roman" w:hAnsi="Times New Roman" w:cs="Times New Roman"/>
          <w:sz w:val="20"/>
          <w:szCs w:val="20"/>
        </w:rPr>
      </w:pPr>
      <w:r w:rsidRPr="005E2C11">
        <w:rPr>
          <w:rFonts w:ascii="Times New Roman" w:hAnsi="Times New Roman" w:cs="Times New Roman"/>
          <w:sz w:val="20"/>
          <w:szCs w:val="20"/>
        </w:rPr>
        <w:t>The</w:t>
      </w:r>
      <w:r w:rsidRPr="00FD125C">
        <w:rPr>
          <w:rFonts w:ascii="Times New Roman" w:hAnsi="Times New Roman" w:cs="Times New Roman"/>
          <w:sz w:val="20"/>
          <w:szCs w:val="20"/>
        </w:rPr>
        <w:t xml:space="preserve"> </w:t>
      </w:r>
      <w:r w:rsidRPr="00FD125C">
        <w:rPr>
          <w:rFonts w:ascii="Times New Roman" w:hAnsi="Times New Roman" w:cs="Times New Roman"/>
          <w:color w:val="000000"/>
          <w:sz w:val="20"/>
          <w:szCs w:val="20"/>
        </w:rPr>
        <w:t>CHADS</w:t>
      </w:r>
      <w:r w:rsidRPr="00FD125C">
        <w:rPr>
          <w:rFonts w:ascii="Times New Roman" w:hAnsi="Times New Roman" w:cs="Times New Roman"/>
          <w:color w:val="000000"/>
          <w:sz w:val="20"/>
          <w:szCs w:val="20"/>
          <w:vertAlign w:val="subscript"/>
        </w:rPr>
        <w:t xml:space="preserve">2 </w:t>
      </w:r>
      <w:r w:rsidRPr="005E2C11">
        <w:rPr>
          <w:rFonts w:ascii="Times New Roman" w:hAnsi="Times New Roman" w:cs="Times New Roman"/>
          <w:sz w:val="20"/>
          <w:szCs w:val="20"/>
        </w:rPr>
        <w:t xml:space="preserve">score is a 0- to </w:t>
      </w:r>
      <w:r>
        <w:rPr>
          <w:rFonts w:ascii="Times New Roman" w:hAnsi="Times New Roman" w:cs="Times New Roman"/>
          <w:sz w:val="20"/>
          <w:szCs w:val="20"/>
        </w:rPr>
        <w:t>6</w:t>
      </w:r>
      <w:r w:rsidRPr="005E2C11">
        <w:rPr>
          <w:rFonts w:ascii="Times New Roman" w:hAnsi="Times New Roman" w:cs="Times New Roman"/>
          <w:sz w:val="20"/>
          <w:szCs w:val="20"/>
        </w:rPr>
        <w:t>-point stroke risk score where a higher point score indicates higher risk of stroke. The point score is calculated as follows: 1 point each for heart failure, hypertension, age 75 years or older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5E2C11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and </w:t>
      </w:r>
      <w:r w:rsidRPr="005E2C11">
        <w:rPr>
          <w:rFonts w:ascii="Times New Roman" w:hAnsi="Times New Roman" w:cs="Times New Roman"/>
          <w:sz w:val="20"/>
          <w:szCs w:val="20"/>
        </w:rPr>
        <w:t xml:space="preserve">diabetes, and 2 points for </w:t>
      </w:r>
      <w:r w:rsidR="00AC26D3" w:rsidRPr="005E2C11">
        <w:rPr>
          <w:rFonts w:ascii="Times New Roman" w:hAnsi="Times New Roman" w:cs="Times New Roman"/>
          <w:sz w:val="20"/>
          <w:szCs w:val="20"/>
        </w:rPr>
        <w:t xml:space="preserve">prior thromboembolism </w:t>
      </w:r>
      <w:r w:rsidR="00AC26D3">
        <w:rPr>
          <w:rFonts w:ascii="Times New Roman" w:hAnsi="Times New Roman" w:cs="Times New Roman"/>
          <w:sz w:val="20"/>
          <w:szCs w:val="20"/>
        </w:rPr>
        <w:t xml:space="preserve">(including ischemic </w:t>
      </w:r>
      <w:r w:rsidR="00AC26D3" w:rsidRPr="005E2C11">
        <w:rPr>
          <w:rFonts w:ascii="Times New Roman" w:hAnsi="Times New Roman" w:cs="Times New Roman"/>
          <w:sz w:val="20"/>
          <w:szCs w:val="20"/>
        </w:rPr>
        <w:t>stroke, TIA or</w:t>
      </w:r>
      <w:r w:rsidR="00AC26D3">
        <w:rPr>
          <w:rFonts w:ascii="Times New Roman" w:hAnsi="Times New Roman" w:cs="Times New Roman"/>
          <w:sz w:val="20"/>
          <w:szCs w:val="20"/>
        </w:rPr>
        <w:t xml:space="preserve"> systemic embolism)</w:t>
      </w:r>
      <w:r w:rsidR="00AC26D3" w:rsidRPr="005E2C11">
        <w:rPr>
          <w:rFonts w:ascii="Times New Roman" w:hAnsi="Times New Roman" w:cs="Times New Roman"/>
          <w:sz w:val="20"/>
          <w:szCs w:val="20"/>
        </w:rPr>
        <w:t>.</w:t>
      </w:r>
    </w:p>
    <w:p w:rsidR="00D03202" w:rsidRPr="001E6C4F" w:rsidRDefault="00D03202" w:rsidP="00D03202">
      <w:pPr>
        <w:rPr>
          <w:rFonts w:ascii="Times New Roman" w:hAnsi="Times New Roman" w:cs="Times New Roman"/>
          <w:sz w:val="20"/>
          <w:szCs w:val="20"/>
        </w:rPr>
      </w:pPr>
      <w:r w:rsidRPr="00200646">
        <w:rPr>
          <w:rFonts w:ascii="Times New Roman" w:hAnsi="Times New Roman" w:cs="Times New Roman"/>
          <w:sz w:val="20"/>
          <w:szCs w:val="20"/>
        </w:rPr>
        <w:t>Concurrent medication use was defined as prescriptions within three months prior to the index date.</w:t>
      </w:r>
    </w:p>
    <w:p w:rsidR="00FD125C" w:rsidRPr="005E2C11" w:rsidRDefault="00FD125C" w:rsidP="006D0B2D">
      <w:pPr>
        <w:rPr>
          <w:rFonts w:ascii="Times New Roman" w:hAnsi="Times New Roman" w:cs="Times New Roman"/>
          <w:sz w:val="20"/>
          <w:szCs w:val="20"/>
        </w:rPr>
      </w:pPr>
    </w:p>
    <w:p w:rsidR="006D0B2D" w:rsidRPr="005E2C11" w:rsidRDefault="006D0B2D">
      <w:pPr>
        <w:rPr>
          <w:rFonts w:ascii="Times New Roman" w:hAnsi="Times New Roman" w:cs="Times New Roman"/>
          <w:b/>
          <w:sz w:val="24"/>
          <w:szCs w:val="24"/>
        </w:rPr>
      </w:pPr>
      <w:r w:rsidRPr="005E2C11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34AB0" w:rsidRPr="00C7339C" w:rsidRDefault="00C7339C" w:rsidP="00834AB0">
      <w:pPr>
        <w:rPr>
          <w:rFonts w:ascii="Times New Roman" w:eastAsia="SimSun" w:hAnsi="Times New Roman" w:cs="Times New Roman"/>
          <w:b/>
          <w:sz w:val="24"/>
          <w:szCs w:val="20"/>
        </w:rPr>
      </w:pPr>
      <w:r w:rsidRPr="00C7339C">
        <w:rPr>
          <w:rFonts w:ascii="Times New Roman" w:hAnsi="Times New Roman" w:cs="Times New Roman"/>
          <w:b/>
          <w:sz w:val="24"/>
          <w:szCs w:val="24"/>
        </w:rPr>
        <w:lastRenderedPageBreak/>
        <w:t>Table S4. Baseline Characteristics Before and After Propensity Score Weighting In Trial Eligible Patients</w:t>
      </w:r>
    </w:p>
    <w:tbl>
      <w:tblPr>
        <w:tblW w:w="12801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348"/>
        <w:gridCol w:w="1602"/>
        <w:gridCol w:w="1602"/>
        <w:gridCol w:w="1602"/>
        <w:gridCol w:w="1602"/>
        <w:gridCol w:w="1597"/>
        <w:gridCol w:w="1448"/>
      </w:tblGrid>
      <w:tr w:rsidR="007829B0" w:rsidRPr="005E2C11" w:rsidTr="007829B0">
        <w:trPr>
          <w:trHeight w:val="288"/>
        </w:trPr>
        <w:tc>
          <w:tcPr>
            <w:tcW w:w="3348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:rsidR="007829B0" w:rsidRPr="005E2C11" w:rsidRDefault="007829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480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29B0" w:rsidRPr="005E2C11" w:rsidRDefault="007829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Before PS weighting</w:t>
            </w:r>
          </w:p>
        </w:tc>
        <w:tc>
          <w:tcPr>
            <w:tcW w:w="4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7829B0" w:rsidRPr="005E2C11" w:rsidRDefault="007829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After PS weighting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(N=128,781)</w:t>
            </w: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(N=6,907)</w:t>
            </w: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Total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(N=135,688)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(N=128,781)</w:t>
            </w:r>
          </w:p>
        </w:tc>
        <w:tc>
          <w:tcPr>
            <w:tcW w:w="159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(N=6,907)</w:t>
            </w:r>
          </w:p>
        </w:tc>
        <w:tc>
          <w:tcPr>
            <w:tcW w:w="144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Standard Mean Difference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tcBorders>
              <w:top w:val="single" w:sz="4" w:space="0" w:color="auto"/>
            </w:tcBorders>
            <w:noWrap/>
            <w:vAlign w:val="bottom"/>
            <w:hideMark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Age, yr, Mean</w:t>
            </w:r>
          </w:p>
        </w:tc>
        <w:tc>
          <w:tcPr>
            <w:tcW w:w="1602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72.0±10.8</w:t>
            </w:r>
          </w:p>
        </w:tc>
        <w:tc>
          <w:tcPr>
            <w:tcW w:w="1602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62.9±10.1</w:t>
            </w:r>
          </w:p>
        </w:tc>
        <w:tc>
          <w:tcPr>
            <w:tcW w:w="1602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71.5±10.9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64.5±11.0</w:t>
            </w:r>
          </w:p>
        </w:tc>
        <w:tc>
          <w:tcPr>
            <w:tcW w:w="1597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64.5±10.1</w:t>
            </w:r>
          </w:p>
        </w:tc>
        <w:tc>
          <w:tcPr>
            <w:tcW w:w="1448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18-64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48.2%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48.2%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65-74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≥75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Female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Race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Asian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Black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Hispanic/Latino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White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79.6%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79.9%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Other/Unknown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Geographic Region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Midwest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Northeast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South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West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Medical History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AF hospitalization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Atrial flutter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 supraventricular arrhythmia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Ventricular arrhythmia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ablation for atrial flutter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Heart failure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Systolic heart failure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Hypertension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92.8%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90.1%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92.6%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90.8%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90.8%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Diabetes mellitus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Thromboembolism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lastRenderedPageBreak/>
              <w:t>Stroke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Ischemic stroke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TIA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Coronary Artery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54.7%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54.7%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Peripheral Artery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CAD or PAD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54.9%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56.1%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56.1%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Myocardial infarction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CABG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PCI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Left ventricular hypertrophy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Cardiomyopathy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None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81.2%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81.2%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80.8%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80.8%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Hypertrophic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Ischemic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Dilated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Implanted device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None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88.7%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87.0%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87.0%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Biventricular or CRT Pacemaker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ICD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Dual Chamber Pacemaker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Single Chamber Pacemaker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ILR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Valve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57.2%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56.2%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56.2%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Prior valve procedure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Mitral stenosis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Mitral regurgitation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Major bleeding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Intracranial bleeding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Stage 3-5 CKD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Liver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Non skin cancer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Fall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lastRenderedPageBreak/>
              <w:t>Anemia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Alcoholism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Smoking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Dementia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Hypothyroidism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30.2%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Thyrotoxicosis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Esophageal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49.1%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48.8%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Obesity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COPD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Obstructive sleep apnea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Hyperlipidemia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Cardioversion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Osteoporosis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Pneumonia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Fracture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Previous Drug Treatment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rate control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≥3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antiarrhythmic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86.5%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83.7%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≥3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Concurrent Medication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Oral anticoagulant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69.5%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61.9%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61.9%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ARB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Thiazides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calcium channel blockers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lastRenderedPageBreak/>
              <w:t>Diuretics—aldosterone antagonists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antihypertensive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Statin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Insulin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Metformin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antidiabetic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Antiplatelet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NSAIDs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Antiulcer agents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Antidepressant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CHA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DS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-VASc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4.5±2.0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3.1±1.7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4.4±2.0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3.4±1.7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3.4±1.8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Baseline, yr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4.3±3.4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4.4±3.2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4.3±3.4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4.2±3.3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4.2±3.2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Index year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2009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2016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CHADS</w:t>
            </w: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2.7±1.4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1.8±1.2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2.6±1.4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1.9±1.2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1.9±1.2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Health Utilization Within Past 12 Months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emergency room visits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1.5±2.1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1.1±1.6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1.5±2.1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1.1±2.2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1.1±1.7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inpatient stays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0.9±1.1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0.5±0.9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0.9±1.1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0.6±0.8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0.6±0.9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7829B0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6B44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days in hospitalization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6.8±12.2</w:t>
            </w:r>
          </w:p>
        </w:tc>
        <w:tc>
          <w:tcPr>
            <w:tcW w:w="1602" w:type="dxa"/>
            <w:tcBorders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2.2±4.8</w:t>
            </w:r>
          </w:p>
        </w:tc>
        <w:tc>
          <w:tcPr>
            <w:tcW w:w="1602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6.6±12.0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2.5±4.5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2.5±5.5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</w:tbl>
    <w:p w:rsidR="00834AB0" w:rsidRPr="005E2C11" w:rsidRDefault="00C01DCD" w:rsidP="00834AB0">
      <w:pPr>
        <w:rPr>
          <w:rFonts w:ascii="Times New Roman" w:hAnsi="Times New Roman" w:cs="Times New Roman"/>
        </w:rPr>
      </w:pPr>
      <w:r w:rsidRPr="005E2C11">
        <w:rPr>
          <w:rFonts w:ascii="Times New Roman" w:hAnsi="Times New Roman" w:cs="Times New Roman"/>
          <w:sz w:val="20"/>
          <w:szCs w:val="20"/>
        </w:rPr>
        <w:t xml:space="preserve">Abbreviations: </w:t>
      </w:r>
      <w:r>
        <w:rPr>
          <w:rFonts w:ascii="Times New Roman" w:hAnsi="Times New Roman" w:cs="Times New Roman"/>
          <w:sz w:val="20"/>
          <w:szCs w:val="20"/>
        </w:rPr>
        <w:t xml:space="preserve">same as Table </w:t>
      </w:r>
      <w:r w:rsidR="00B46005">
        <w:rPr>
          <w:rFonts w:ascii="Times New Roman" w:hAnsi="Times New Roman" w:cs="Times New Roman"/>
          <w:sz w:val="20"/>
          <w:szCs w:val="20"/>
        </w:rPr>
        <w:t>S</w:t>
      </w:r>
      <w:r>
        <w:rPr>
          <w:rFonts w:ascii="Times New Roman" w:hAnsi="Times New Roman" w:cs="Times New Roman"/>
          <w:sz w:val="20"/>
          <w:szCs w:val="20"/>
        </w:rPr>
        <w:t>3</w:t>
      </w:r>
    </w:p>
    <w:p w:rsidR="004B28FA" w:rsidRPr="005E2C11" w:rsidRDefault="004B28FA">
      <w:pPr>
        <w:rPr>
          <w:rFonts w:ascii="Times New Roman" w:eastAsia="SimSun" w:hAnsi="Times New Roman" w:cs="Times New Roman"/>
          <w:b/>
          <w:szCs w:val="20"/>
        </w:rPr>
      </w:pPr>
      <w:r w:rsidRPr="005E2C11">
        <w:rPr>
          <w:rFonts w:ascii="Times New Roman" w:eastAsia="SimSun" w:hAnsi="Times New Roman" w:cs="Times New Roman"/>
          <w:b/>
          <w:szCs w:val="20"/>
        </w:rPr>
        <w:br w:type="page"/>
      </w:r>
    </w:p>
    <w:p w:rsidR="00834AB0" w:rsidRPr="006A7FE5" w:rsidRDefault="008450D6" w:rsidP="00834AB0">
      <w:pPr>
        <w:rPr>
          <w:rFonts w:ascii="Times New Roman" w:eastAsia="SimSun" w:hAnsi="Times New Roman" w:cs="Times New Roman"/>
          <w:b/>
          <w:sz w:val="24"/>
          <w:szCs w:val="20"/>
        </w:rPr>
      </w:pPr>
      <w:r w:rsidRPr="00553111">
        <w:rPr>
          <w:rFonts w:ascii="Times New Roman" w:eastAsia="SimSun" w:hAnsi="Times New Roman" w:cs="Times New Roman"/>
          <w:b/>
          <w:sz w:val="24"/>
          <w:szCs w:val="20"/>
        </w:rPr>
        <w:lastRenderedPageBreak/>
        <w:t xml:space="preserve">Table S5. Baseline Characteristics </w:t>
      </w:r>
      <w:proofErr w:type="gramStart"/>
      <w:r w:rsidRPr="00553111">
        <w:rPr>
          <w:rFonts w:ascii="Times New Roman" w:eastAsia="SimSun" w:hAnsi="Times New Roman" w:cs="Times New Roman"/>
          <w:b/>
          <w:sz w:val="24"/>
          <w:szCs w:val="20"/>
        </w:rPr>
        <w:t>Before</w:t>
      </w:r>
      <w:proofErr w:type="gramEnd"/>
      <w:r w:rsidRPr="00553111">
        <w:rPr>
          <w:rFonts w:ascii="Times New Roman" w:eastAsia="SimSun" w:hAnsi="Times New Roman" w:cs="Times New Roman"/>
          <w:b/>
          <w:sz w:val="24"/>
          <w:szCs w:val="20"/>
        </w:rPr>
        <w:t xml:space="preserve"> and After Propensity Score Weighting In Patients Who Failed to Meet CABANA Inclusion Criterion</w:t>
      </w:r>
    </w:p>
    <w:tbl>
      <w:tblPr>
        <w:tblW w:w="12801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348"/>
        <w:gridCol w:w="1602"/>
        <w:gridCol w:w="1602"/>
        <w:gridCol w:w="1602"/>
        <w:gridCol w:w="1602"/>
        <w:gridCol w:w="1597"/>
        <w:gridCol w:w="1448"/>
      </w:tblGrid>
      <w:tr w:rsidR="00887C14" w:rsidRPr="005E2C11" w:rsidTr="00887C14">
        <w:trPr>
          <w:trHeight w:val="288"/>
        </w:trPr>
        <w:tc>
          <w:tcPr>
            <w:tcW w:w="3348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:rsidR="00887C14" w:rsidRPr="005E2C11" w:rsidRDefault="00887C14" w:rsidP="00887C1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480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87C14" w:rsidRPr="005E2C11" w:rsidRDefault="00887C14" w:rsidP="00887C1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Before PS weighting</w:t>
            </w:r>
          </w:p>
        </w:tc>
        <w:tc>
          <w:tcPr>
            <w:tcW w:w="4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87C14" w:rsidRPr="005E2C11" w:rsidRDefault="00887C14" w:rsidP="00887C1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After PS weighting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(N=6,130)</w:t>
            </w: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(N=825)</w:t>
            </w: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Total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(N=6,955)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(N=6,130)</w:t>
            </w:r>
          </w:p>
        </w:tc>
        <w:tc>
          <w:tcPr>
            <w:tcW w:w="159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(N=825)</w:t>
            </w:r>
          </w:p>
        </w:tc>
        <w:tc>
          <w:tcPr>
            <w:tcW w:w="144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Standard Mean Difference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tcBorders>
              <w:top w:val="single" w:sz="4" w:space="0" w:color="auto"/>
            </w:tcBorders>
            <w:noWrap/>
            <w:vAlign w:val="bottom"/>
            <w:hideMark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Age, yr, Mean</w:t>
            </w:r>
          </w:p>
        </w:tc>
        <w:tc>
          <w:tcPr>
            <w:tcW w:w="1602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51.2±10.0</w:t>
            </w:r>
          </w:p>
        </w:tc>
        <w:tc>
          <w:tcPr>
            <w:tcW w:w="1602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51.3±9.4</w:t>
            </w:r>
          </w:p>
        </w:tc>
        <w:tc>
          <w:tcPr>
            <w:tcW w:w="1602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51.2±10.0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50.7±10.3</w:t>
            </w:r>
          </w:p>
        </w:tc>
        <w:tc>
          <w:tcPr>
            <w:tcW w:w="1597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50.7±10.1</w:t>
            </w:r>
          </w:p>
        </w:tc>
        <w:tc>
          <w:tcPr>
            <w:tcW w:w="1448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Female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Race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Asian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Black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Hispanic/Latino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White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Other/Unknown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Geographic Region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Midwest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Northeast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South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West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Medical History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315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AF hospitalization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Atrial flutter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 supraventricular arrhythmia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Ventricular arrhythmia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ablation for atrial flutter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Left ventricular hypertrophy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Cardiomyopathy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Implanted device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Valve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Mitral stenosis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Mitral regurgitation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lastRenderedPageBreak/>
              <w:t>Major bleeding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Stage 3-5 CKD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Liver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Non skin cancer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Fall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Anemia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Alcoholism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Smoking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Dementia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Hypothyroidism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Thyrotoxicosis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Esophageal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Obesity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COPD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Obstructive sleep apnea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Hyperlipidemia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Cardioversion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Osteoporosis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Pneumonia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Fracture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Previous Drug Treatment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rate control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76.2%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≥3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antiarrhythmic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92.0%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57.0%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57.0%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≥3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Concurrent Medication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lastRenderedPageBreak/>
              <w:t>Oral anticoagulant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61.6%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Statin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Antiplatelet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NSAIDs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Antiulcer agents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Antidepressant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Baseline, yr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4.0±3.0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4.5±3.3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4.1±3.0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4.2±3.3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4.2±3.1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Index year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2009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2016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Health Utilization Within Past 12 Months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emergency room visits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0.7±1.0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0.6±1.1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0.7±1.0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0.6±1.0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0.6±1.1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inpatient stays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0.4±0.6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0.2±0.5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0.3±0.6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0.2±0.5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0.2±0.5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163B5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days in hospitalization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1.6±4.7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0.5±1.6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1.5±4.5</w:t>
            </w:r>
          </w:p>
        </w:tc>
        <w:tc>
          <w:tcPr>
            <w:tcW w:w="1602" w:type="dxa"/>
            <w:tcBorders>
              <w:left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0.6±1.6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0.6±1.7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</w:tbl>
    <w:p w:rsidR="00C01DCD" w:rsidRPr="005E2C11" w:rsidRDefault="00C01DCD" w:rsidP="00C01DCD">
      <w:pPr>
        <w:rPr>
          <w:rFonts w:ascii="Times New Roman" w:hAnsi="Times New Roman" w:cs="Times New Roman"/>
          <w:sz w:val="20"/>
          <w:szCs w:val="20"/>
        </w:rPr>
      </w:pPr>
      <w:r w:rsidRPr="005E2C11">
        <w:rPr>
          <w:rFonts w:ascii="Times New Roman" w:hAnsi="Times New Roman" w:cs="Times New Roman"/>
          <w:sz w:val="20"/>
          <w:szCs w:val="20"/>
        </w:rPr>
        <w:t xml:space="preserve">Abbreviations: </w:t>
      </w:r>
      <w:r>
        <w:rPr>
          <w:rFonts w:ascii="Times New Roman" w:hAnsi="Times New Roman" w:cs="Times New Roman"/>
          <w:sz w:val="20"/>
          <w:szCs w:val="20"/>
        </w:rPr>
        <w:t xml:space="preserve">same as Table </w:t>
      </w:r>
      <w:r w:rsidR="00BD25D2">
        <w:rPr>
          <w:rFonts w:ascii="Times New Roman" w:hAnsi="Times New Roman" w:cs="Times New Roman"/>
          <w:sz w:val="20"/>
          <w:szCs w:val="20"/>
        </w:rPr>
        <w:t>S</w:t>
      </w:r>
      <w:r>
        <w:rPr>
          <w:rFonts w:ascii="Times New Roman" w:hAnsi="Times New Roman" w:cs="Times New Roman"/>
          <w:sz w:val="20"/>
          <w:szCs w:val="20"/>
        </w:rPr>
        <w:t>3</w:t>
      </w:r>
    </w:p>
    <w:p w:rsidR="00834AB0" w:rsidRPr="005E2C11" w:rsidRDefault="00834AB0" w:rsidP="00834AB0">
      <w:pPr>
        <w:rPr>
          <w:rFonts w:ascii="Times New Roman" w:hAnsi="Times New Roman" w:cs="Times New Roman"/>
        </w:rPr>
      </w:pPr>
    </w:p>
    <w:p w:rsidR="00834AB0" w:rsidRPr="005E2C11" w:rsidRDefault="00834AB0" w:rsidP="00834AB0">
      <w:pPr>
        <w:rPr>
          <w:rFonts w:ascii="Times New Roman" w:hAnsi="Times New Roman" w:cs="Times New Roman"/>
        </w:rPr>
      </w:pPr>
      <w:r w:rsidRPr="005E2C11">
        <w:rPr>
          <w:rFonts w:ascii="Times New Roman" w:hAnsi="Times New Roman" w:cs="Times New Roman"/>
        </w:rPr>
        <w:br w:type="page"/>
      </w:r>
    </w:p>
    <w:p w:rsidR="00834AB0" w:rsidRPr="005E2C11" w:rsidRDefault="0093035D" w:rsidP="00834AB0">
      <w:pPr>
        <w:rPr>
          <w:rFonts w:ascii="Times New Roman" w:eastAsia="SimSun" w:hAnsi="Times New Roman" w:cs="Times New Roman"/>
          <w:b/>
          <w:szCs w:val="20"/>
        </w:rPr>
      </w:pPr>
      <w:r w:rsidRPr="006A7FE5">
        <w:rPr>
          <w:rFonts w:ascii="Times New Roman" w:eastAsia="SimSun" w:hAnsi="Times New Roman" w:cs="Times New Roman"/>
          <w:b/>
          <w:sz w:val="24"/>
          <w:szCs w:val="20"/>
        </w:rPr>
        <w:lastRenderedPageBreak/>
        <w:t xml:space="preserve">Table S6. Baseline Characteristics </w:t>
      </w:r>
      <w:proofErr w:type="gramStart"/>
      <w:r w:rsidRPr="006A7FE5">
        <w:rPr>
          <w:rFonts w:ascii="Times New Roman" w:eastAsia="SimSun" w:hAnsi="Times New Roman" w:cs="Times New Roman"/>
          <w:b/>
          <w:sz w:val="24"/>
          <w:szCs w:val="20"/>
        </w:rPr>
        <w:t>Before</w:t>
      </w:r>
      <w:proofErr w:type="gramEnd"/>
      <w:r w:rsidRPr="006A7FE5">
        <w:rPr>
          <w:rFonts w:ascii="Times New Roman" w:eastAsia="SimSun" w:hAnsi="Times New Roman" w:cs="Times New Roman"/>
          <w:b/>
          <w:sz w:val="24"/>
          <w:szCs w:val="20"/>
        </w:rPr>
        <w:t xml:space="preserve"> and After Propensity Score Weighting In Patients Who Met At Least One of Exclusion Criteria</w:t>
      </w:r>
    </w:p>
    <w:tbl>
      <w:tblPr>
        <w:tblW w:w="12801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3348"/>
        <w:gridCol w:w="1602"/>
        <w:gridCol w:w="1602"/>
        <w:gridCol w:w="1602"/>
        <w:gridCol w:w="1602"/>
        <w:gridCol w:w="1597"/>
        <w:gridCol w:w="1448"/>
      </w:tblGrid>
      <w:tr w:rsidR="00392B11" w:rsidRPr="005E2C11" w:rsidTr="00B11E52">
        <w:trPr>
          <w:trHeight w:val="288"/>
        </w:trPr>
        <w:tc>
          <w:tcPr>
            <w:tcW w:w="3348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</w:tcPr>
          <w:p w:rsidR="00392B11" w:rsidRPr="005E2C11" w:rsidRDefault="00392B1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480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92B11" w:rsidRPr="005E2C11" w:rsidRDefault="00392B1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Before PS weighting</w:t>
            </w:r>
          </w:p>
        </w:tc>
        <w:tc>
          <w:tcPr>
            <w:tcW w:w="4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392B11" w:rsidRPr="005E2C11" w:rsidRDefault="00392B11" w:rsidP="00B11E5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After PS weighting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(N=36,817)</w:t>
            </w: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(N=4,300)</w:t>
            </w:r>
          </w:p>
        </w:tc>
        <w:tc>
          <w:tcPr>
            <w:tcW w:w="16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Total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(N=41,117)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Drug Treated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(N=36,817)</w:t>
            </w:r>
          </w:p>
        </w:tc>
        <w:tc>
          <w:tcPr>
            <w:tcW w:w="159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</w:t>
            </w:r>
          </w:p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(N=4,300)</w:t>
            </w:r>
          </w:p>
        </w:tc>
        <w:tc>
          <w:tcPr>
            <w:tcW w:w="144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Standard Mean Difference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tcBorders>
              <w:top w:val="single" w:sz="4" w:space="0" w:color="auto"/>
            </w:tcBorders>
            <w:noWrap/>
            <w:vAlign w:val="bottom"/>
            <w:hideMark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Age, yr, Mean</w:t>
            </w:r>
          </w:p>
        </w:tc>
        <w:tc>
          <w:tcPr>
            <w:tcW w:w="1602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69.5±12.2</w:t>
            </w:r>
          </w:p>
        </w:tc>
        <w:tc>
          <w:tcPr>
            <w:tcW w:w="1602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62.7±11.1</w:t>
            </w:r>
          </w:p>
        </w:tc>
        <w:tc>
          <w:tcPr>
            <w:tcW w:w="1602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68.8±12.3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64.4±12.7</w:t>
            </w:r>
          </w:p>
        </w:tc>
        <w:tc>
          <w:tcPr>
            <w:tcW w:w="1597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64.4±12.0</w:t>
            </w:r>
          </w:p>
        </w:tc>
        <w:tc>
          <w:tcPr>
            <w:tcW w:w="1448" w:type="dxa"/>
            <w:tcBorders>
              <w:top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18-64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30.3%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65-74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30.8%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≥75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37.2%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Female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Race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Asian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Black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Hispanic/Latino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White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78.2%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78.8%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Other/Unknown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Geographic Region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Midwest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Northeast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South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West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Medical History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AF hospitalization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67.6%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68.9%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67.8%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Atrial flutter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Other supraventricular arrhythmia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Ventricular arrhythmia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Prior ablation for atrial flutter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Heart failure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59.7%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Systolic heart failure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Hypertension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92.5%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87.7%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92.0%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89.5%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89.5%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Diabetes mellitus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45.0%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lastRenderedPageBreak/>
              <w:t>Thromboembolism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30.3%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Stroke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Ischemic stroke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TIA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Coronary Artery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65.3%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81.0%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Peripheral Artery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CAD or PAD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66.7%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82.3%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71.8%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71.8%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Myocardial infarction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42.2%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CABG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PCI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Left ventricular hypertrophy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44.4%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Cardiomyopathy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None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69.2%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64.1%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68.7%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62.7%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62.7%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Hypertrophic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Ischemic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Dilated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Implanted device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None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77.7%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78.2%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77.7%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Biventricular or CRT Pacemaker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ICD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Dual Chamber Pacemaker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Single Chamber Pacemaker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34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ILR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Valve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65.6%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66.8%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65.7%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67.6%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67.6%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Prior valve procedure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Mitral stenosis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Mitral regurgitation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52.4%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53.1%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Major bleeding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Intracranial bleeding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Stage 3-5 CKD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Liver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Non skin cancer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lastRenderedPageBreak/>
              <w:t>Fall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Anemia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68.2%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65.5%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50.9%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Alcoholism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Smoking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39.7%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Dementia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Hypothyroidism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30.0%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Thyrotoxicosis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Esophageal disease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55.3%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47.9%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54.6%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51.2%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Obesity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38.7%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30.4%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COPD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Obstructive sleep apnea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Hyperlipidemia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87.2%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84.4%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86.9%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85.6%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Cardioversion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58.0%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Osteoporosis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Pneumonia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34.3%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Fracture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Previous Drug Treatment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rate control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26.8%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35.4%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40.9%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36.4%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33.2%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21.8%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≥3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62" w:firstLine="15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 of previous antiarrhythmic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77.3%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70.0%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46.3%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48.3%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48.3%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22.6%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≥3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Concurrent Medication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Oral anticoagulant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74.5%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30.4%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61.3%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61.3%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ACE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27.7%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28.5%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ARB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Thiazides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lastRenderedPageBreak/>
              <w:t>Other calcium channel blockers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Diuretics—aldosterone antagonists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antihypertensive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29.6%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31.2%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32.9%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Statin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41.9%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43.0%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43.0%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Insulin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Metformin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9.6%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antidiabetic drugs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Antiplatelet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NSAIDs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7.8%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7.8%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Antiulcer agents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24.3%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23.5%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ind w:left="180" w:hanging="3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Antidepressant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19.3%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19.3%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CHA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DS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-VASc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4.9±2.0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3.6±1.9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4.8±2.0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4.0±1.9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4.0±2.0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Baseline, yr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4.6±3.5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4.8±3.4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4.6±3.5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4.7±3.5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4.7±3.4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sz w:val="20"/>
                <w:szCs w:val="20"/>
              </w:rPr>
              <w:t>Trial Eligibility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Failed to meet inclusion criteria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2.6%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MI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PCI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CABG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19.9%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Recent valve surgery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HCM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Heart transplant or VAD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87C14" w:rsidRPr="005E2C11" w:rsidTr="00392B11">
        <w:trPr>
          <w:trHeight w:val="288"/>
        </w:trPr>
        <w:tc>
          <w:tcPr>
            <w:tcW w:w="3348" w:type="dxa"/>
            <w:noWrap/>
            <w:vAlign w:val="center"/>
          </w:tcPr>
          <w:p w:rsidR="00887C14" w:rsidRPr="005E2C11" w:rsidRDefault="0029415F" w:rsidP="0029415F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sz w:val="20"/>
                <w:szCs w:val="20"/>
              </w:rPr>
              <w:t>Other arrhythmias</w:t>
            </w:r>
            <w:r w:rsidR="00887C14"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 xml:space="preserve"> requiring AAD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8.7%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9.9%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25.8%</w:t>
            </w:r>
          </w:p>
        </w:tc>
        <w:tc>
          <w:tcPr>
            <w:tcW w:w="1597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25.8%</w:t>
            </w:r>
          </w:p>
        </w:tc>
        <w:tc>
          <w:tcPr>
            <w:tcW w:w="1448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87C14" w:rsidRPr="005E2C11" w:rsidTr="00392B11">
        <w:trPr>
          <w:trHeight w:val="288"/>
        </w:trPr>
        <w:tc>
          <w:tcPr>
            <w:tcW w:w="3348" w:type="dxa"/>
            <w:noWrap/>
            <w:vAlign w:val="center"/>
          </w:tcPr>
          <w:p w:rsidR="00887C14" w:rsidRPr="005E2C11" w:rsidRDefault="00887C14" w:rsidP="00887C14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Long QT syndrome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4.1%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5.1%</w:t>
            </w:r>
          </w:p>
        </w:tc>
        <w:tc>
          <w:tcPr>
            <w:tcW w:w="1597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5.1%</w:t>
            </w:r>
          </w:p>
        </w:tc>
        <w:tc>
          <w:tcPr>
            <w:tcW w:w="1448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87C14" w:rsidRPr="005E2C11" w:rsidTr="00392B11">
        <w:trPr>
          <w:trHeight w:val="288"/>
        </w:trPr>
        <w:tc>
          <w:tcPr>
            <w:tcW w:w="3348" w:type="dxa"/>
            <w:noWrap/>
            <w:vAlign w:val="center"/>
          </w:tcPr>
          <w:p w:rsidR="00887C14" w:rsidRPr="005E2C11" w:rsidRDefault="00887C14" w:rsidP="00887C14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Other arrhythmia requiring ablation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7.3%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8.1%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1597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1448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87C14" w:rsidRPr="005E2C11" w:rsidTr="00392B11">
        <w:trPr>
          <w:trHeight w:val="288"/>
        </w:trPr>
        <w:tc>
          <w:tcPr>
            <w:tcW w:w="3348" w:type="dxa"/>
            <w:noWrap/>
            <w:vAlign w:val="center"/>
          </w:tcPr>
          <w:p w:rsidR="00887C14" w:rsidRPr="005E2C11" w:rsidRDefault="00887C14" w:rsidP="00887C14">
            <w:pPr>
              <w:spacing w:after="0" w:line="240" w:lineRule="auto"/>
              <w:ind w:firstLine="177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Prior AV nodal ablation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602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2.0%</w:t>
            </w:r>
          </w:p>
        </w:tc>
        <w:tc>
          <w:tcPr>
            <w:tcW w:w="1597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2.0%</w:t>
            </w:r>
          </w:p>
        </w:tc>
        <w:tc>
          <w:tcPr>
            <w:tcW w:w="1448" w:type="dxa"/>
            <w:vAlign w:val="bottom"/>
          </w:tcPr>
          <w:p w:rsidR="00887C14" w:rsidRPr="005E2C11" w:rsidRDefault="00887C14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Maze procedure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5.9%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6.1%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Contraindication to anticoagulation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20.1%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9.1%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Renal failure requiring dialysis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1.0%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Women of childbearing potential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Index year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2009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2010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11.3%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10.5%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11.2%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11.5%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lastRenderedPageBreak/>
              <w:t>2011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15.2%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15.1%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15.6%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2013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16.5%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16.9%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16.5%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16.2%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16.2%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15.3%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15.4%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14.7%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17.6%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18.7%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17.7%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17.4%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2016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7.4%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7.0%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7.1%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CHADS</w:t>
            </w: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3.0±1.5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2.1±1.4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2.9±1.5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2.4±1.4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2.4±1.5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6C13B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Health Utilization Within Past 12 Months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emergency room visits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2.0±2.7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1.5±2.6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2.0±2.7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1.8±3.6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1.8±3.3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inpatient stays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1.5±1.4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0.9±1.2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1.4±1.4</w:t>
            </w:r>
          </w:p>
        </w:tc>
        <w:tc>
          <w:tcPr>
            <w:tcW w:w="1602" w:type="dxa"/>
            <w:tcBorders>
              <w:lef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1.0±1.3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1.0±1.4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  <w:tr w:rsidR="00834AB0" w:rsidRPr="005E2C11" w:rsidTr="00392B11">
        <w:trPr>
          <w:trHeight w:val="288"/>
        </w:trPr>
        <w:tc>
          <w:tcPr>
            <w:tcW w:w="3348" w:type="dxa"/>
            <w:noWrap/>
            <w:vAlign w:val="bottom"/>
          </w:tcPr>
          <w:p w:rsidR="00834AB0" w:rsidRPr="005E2C11" w:rsidRDefault="00834AB0" w:rsidP="00EF6091">
            <w:pPr>
              <w:spacing w:after="0" w:line="240" w:lineRule="auto"/>
              <w:ind w:left="180"/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1A171C"/>
                <w:sz w:val="20"/>
                <w:szCs w:val="20"/>
              </w:rPr>
              <w:t>Number of days in hospitalization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14.2±18.5</w:t>
            </w:r>
          </w:p>
        </w:tc>
        <w:tc>
          <w:tcPr>
            <w:tcW w:w="1602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4.3±8.1</w:t>
            </w:r>
          </w:p>
        </w:tc>
        <w:tc>
          <w:tcPr>
            <w:tcW w:w="1602" w:type="dxa"/>
            <w:tcBorders>
              <w:right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13.1±18.0</w:t>
            </w:r>
          </w:p>
        </w:tc>
        <w:tc>
          <w:tcPr>
            <w:tcW w:w="1602" w:type="dxa"/>
            <w:tcBorders>
              <w:left w:val="single" w:sz="4" w:space="0" w:color="auto"/>
              <w:bottom w:val="single" w:sz="4" w:space="0" w:color="auto"/>
            </w:tcBorders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5.8±8.9</w:t>
            </w:r>
          </w:p>
        </w:tc>
        <w:tc>
          <w:tcPr>
            <w:tcW w:w="1597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5.8±10.6</w:t>
            </w:r>
          </w:p>
        </w:tc>
        <w:tc>
          <w:tcPr>
            <w:tcW w:w="1448" w:type="dxa"/>
            <w:vAlign w:val="bottom"/>
          </w:tcPr>
          <w:p w:rsidR="00834AB0" w:rsidRPr="005E2C11" w:rsidRDefault="00834AB0" w:rsidP="006C13B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0.0%</w:t>
            </w:r>
          </w:p>
        </w:tc>
      </w:tr>
    </w:tbl>
    <w:p w:rsidR="00002DA4" w:rsidRPr="005E2C11" w:rsidRDefault="00002DA4" w:rsidP="00002DA4">
      <w:pPr>
        <w:rPr>
          <w:rFonts w:ascii="Times New Roman" w:hAnsi="Times New Roman" w:cs="Times New Roman"/>
          <w:sz w:val="20"/>
          <w:szCs w:val="20"/>
        </w:rPr>
      </w:pPr>
      <w:r w:rsidRPr="005E2C11">
        <w:rPr>
          <w:rFonts w:ascii="Times New Roman" w:hAnsi="Times New Roman" w:cs="Times New Roman"/>
          <w:sz w:val="20"/>
          <w:szCs w:val="20"/>
        </w:rPr>
        <w:t xml:space="preserve">Abbreviations: </w:t>
      </w:r>
      <w:r w:rsidR="00C01DCD">
        <w:rPr>
          <w:rFonts w:ascii="Times New Roman" w:hAnsi="Times New Roman" w:cs="Times New Roman"/>
          <w:sz w:val="20"/>
          <w:szCs w:val="20"/>
        </w:rPr>
        <w:t xml:space="preserve">same as Table </w:t>
      </w:r>
      <w:r w:rsidR="00BD25D2">
        <w:rPr>
          <w:rFonts w:ascii="Times New Roman" w:hAnsi="Times New Roman" w:cs="Times New Roman"/>
          <w:sz w:val="20"/>
          <w:szCs w:val="20"/>
        </w:rPr>
        <w:t>S</w:t>
      </w:r>
      <w:r w:rsidR="00C01DCD">
        <w:rPr>
          <w:rFonts w:ascii="Times New Roman" w:hAnsi="Times New Roman" w:cs="Times New Roman"/>
          <w:sz w:val="20"/>
          <w:szCs w:val="20"/>
        </w:rPr>
        <w:t>3</w:t>
      </w:r>
    </w:p>
    <w:p w:rsidR="00B72F25" w:rsidRDefault="00B72F25">
      <w:pPr>
        <w:rPr>
          <w:rFonts w:ascii="Times New Roman" w:hAnsi="Times New Roman" w:cs="Times New Roman"/>
          <w:b/>
          <w:sz w:val="24"/>
        </w:rPr>
        <w:sectPr w:rsidR="00B72F25" w:rsidSect="00E51145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444F8F" w:rsidRPr="005E2C11" w:rsidRDefault="00444F8F" w:rsidP="00444F8F">
      <w:pPr>
        <w:rPr>
          <w:rFonts w:ascii="Times New Roman" w:hAnsi="Times New Roman" w:cs="Times New Roman"/>
          <w:b/>
          <w:sz w:val="24"/>
        </w:rPr>
      </w:pPr>
      <w:r w:rsidRPr="005E2C11">
        <w:rPr>
          <w:rFonts w:ascii="Times New Roman" w:hAnsi="Times New Roman" w:cs="Times New Roman"/>
          <w:b/>
          <w:sz w:val="24"/>
        </w:rPr>
        <w:lastRenderedPageBreak/>
        <w:t xml:space="preserve">Table </w:t>
      </w:r>
      <w:r w:rsidR="008D4509">
        <w:rPr>
          <w:rFonts w:ascii="Times New Roman" w:hAnsi="Times New Roman" w:cs="Times New Roman"/>
          <w:b/>
          <w:sz w:val="24"/>
        </w:rPr>
        <w:t>S</w:t>
      </w:r>
      <w:r w:rsidRPr="005E2C11">
        <w:rPr>
          <w:rFonts w:ascii="Times New Roman" w:hAnsi="Times New Roman" w:cs="Times New Roman"/>
          <w:b/>
          <w:sz w:val="24"/>
        </w:rPr>
        <w:t xml:space="preserve">7. </w:t>
      </w:r>
      <w:proofErr w:type="gramStart"/>
      <w:r w:rsidRPr="005E2C11">
        <w:rPr>
          <w:rFonts w:ascii="Times New Roman" w:hAnsi="Times New Roman" w:cs="Times New Roman"/>
          <w:b/>
          <w:sz w:val="24"/>
        </w:rPr>
        <w:t>Cumulative Risks and 95% Confidence Intervals at Different Time Points.</w:t>
      </w:r>
      <w:proofErr w:type="gramEnd"/>
    </w:p>
    <w:tbl>
      <w:tblPr>
        <w:tblStyle w:val="a4"/>
        <w:tblW w:w="98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8"/>
        <w:gridCol w:w="2340"/>
        <w:gridCol w:w="2430"/>
        <w:gridCol w:w="1733"/>
        <w:gridCol w:w="1733"/>
      </w:tblGrid>
      <w:tr w:rsidR="000870E9" w:rsidRPr="005E2C11" w:rsidTr="000870E9">
        <w:trPr>
          <w:trHeight w:val="239"/>
        </w:trPr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2C11">
              <w:rPr>
                <w:rFonts w:ascii="Times New Roman" w:hAnsi="Times New Roman" w:cs="Times New Roman"/>
                <w:b/>
              </w:rPr>
              <w:t>Drug-Treated</w:t>
            </w: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E2C11">
              <w:rPr>
                <w:rFonts w:ascii="Times New Roman" w:hAnsi="Times New Roman" w:cs="Times New Roman"/>
                <w:b/>
              </w:rPr>
              <w:t>Ablated</w:t>
            </w:r>
          </w:p>
        </w:tc>
        <w:tc>
          <w:tcPr>
            <w:tcW w:w="1733" w:type="dxa"/>
            <w:tcBorders>
              <w:top w:val="single" w:sz="4" w:space="0" w:color="auto"/>
              <w:bottom w:val="single" w:sz="4" w:space="0" w:color="auto"/>
            </w:tcBorders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Hazard Ratio</w:t>
            </w:r>
          </w:p>
        </w:tc>
        <w:tc>
          <w:tcPr>
            <w:tcW w:w="1733" w:type="dxa"/>
            <w:tcBorders>
              <w:top w:val="single" w:sz="4" w:space="0" w:color="auto"/>
              <w:bottom w:val="single" w:sz="4" w:space="0" w:color="auto"/>
            </w:tcBorders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</w:t>
            </w:r>
          </w:p>
        </w:tc>
      </w:tr>
      <w:tr w:rsidR="000870E9" w:rsidRPr="005E2C11" w:rsidTr="000870E9">
        <w:trPr>
          <w:trHeight w:val="239"/>
        </w:trPr>
        <w:tc>
          <w:tcPr>
            <w:tcW w:w="6408" w:type="dxa"/>
            <w:gridSpan w:val="3"/>
            <w:tcBorders>
              <w:top w:val="single" w:sz="4" w:space="0" w:color="auto"/>
            </w:tcBorders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b/>
              </w:rPr>
              <w:t>Overall cohort</w:t>
            </w: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1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6.9% (6.3%, 7.6%)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5.7% (5.1%, 6.3%)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0.82 (0.74, 0.91)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2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12.1% (11.2%, 13.0%)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9.0% (8.3%, 9.8%)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0.76 (0.69, 0.83)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3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16.1% (15.0%, 17.3%)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12.4% (11.4%, 13.5%)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0.76 (0.70, 0.83)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4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19.8% (18.4%, 21.4%)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15.4% (14.1%, 16.7%)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0.76 (0.71, 0.82)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5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23.6% (21.8%, 25.6%)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18.1% (16.5%, 19.8%)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0.76 (0.70, 0.82)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6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27.1% (24.7%, 29.7%)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20.1% (18.1%, 22.3%)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0.75 (0.70, 0.81)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7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31.7% (27.9%, 35.9%)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23.4% (20.6%, 26.6%)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0.75 (0.70, 0.81)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6408" w:type="dxa"/>
            <w:gridSpan w:val="3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</w:rPr>
              <w:t>Eligible for CABANA</w:t>
            </w:r>
          </w:p>
        </w:tc>
        <w:tc>
          <w:tcPr>
            <w:tcW w:w="1733" w:type="dxa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33" w:type="dxa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1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6.2% (5.5%, 7.0%)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4.8% (4.2%, 5.5%)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0.77 (0.67, 0.89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2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11.0% (9.9%, 12.1%)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7.6% (6.8%, 8.6%)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0.71 (0.63, 0.79)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3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14.9% (13.5%, 16.3%)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11.0% (9.8%, 12.2%)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0.72 (0.65, 0.80)  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4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18.8% (17.1%, 20.7%)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13.5% (12.0%, 15.1%)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0.71 (0.64, 0.79)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5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22.5% (20.3%, 25.0%)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15.8% (14.0%, 17.8%)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0.71 (0.64, 0.78)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6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25.8% (22.9%, 29.1%)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17.2% (15.1%, 19.6%)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0.70 (0.63, 0.77)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7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29.8% (25.3%, 34.8%)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19.4% (16.4%, 22.7%)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0.70 (0.63, 0.77)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&lt;0.001</w:t>
            </w:r>
          </w:p>
        </w:tc>
      </w:tr>
      <w:tr w:rsidR="000870E9" w:rsidRPr="005E2C11" w:rsidTr="000870E9">
        <w:trPr>
          <w:trHeight w:val="239"/>
        </w:trPr>
        <w:tc>
          <w:tcPr>
            <w:tcW w:w="6408" w:type="dxa"/>
            <w:gridSpan w:val="3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</w:rPr>
              <w:t>Fail to Meet Inclusion for CABANA</w:t>
            </w:r>
          </w:p>
        </w:tc>
        <w:tc>
          <w:tcPr>
            <w:tcW w:w="1733" w:type="dxa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33" w:type="dxa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1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1.2% (0.4%, 3.2%)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1.3% (0.5%, 3.2%)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1.20 (0.47, 3.08)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0.70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2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1.9% (0.8%, 4.4%)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1.3% (0.5%, 3.2%)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0.82 (0.33, 2.05)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0.67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3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2.1% (0.9%, 4.8%)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1.7% (0.7%, 4.3%)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0.87 (0.37, 2.05)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0.75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4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2.9% (1.2%, 7.0%)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1.7% (0.7%, 4.3%)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0.77 (0.33, 1.80)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0.55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5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3.3% (1.3%, 8.4%)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1.7% (0.7%, 4.3%)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0.75 (0.32, 1.75)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0.51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6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4.4% (1.4%, 13.7%)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1.7% (0.7%, 4.3%)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0.72 (0.31, 1.67)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0.44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7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6.2% (1.7%, 21.2%)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1.7% (0.7%, 4.3%)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0.69 (0.29, 1.59)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0.38</w:t>
            </w:r>
          </w:p>
        </w:tc>
      </w:tr>
      <w:tr w:rsidR="000870E9" w:rsidRPr="005E2C11" w:rsidTr="000870E9">
        <w:trPr>
          <w:trHeight w:val="239"/>
        </w:trPr>
        <w:tc>
          <w:tcPr>
            <w:tcW w:w="6408" w:type="dxa"/>
            <w:gridSpan w:val="3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hAnsi="Times New Roman" w:cs="Times New Roman"/>
                <w:b/>
              </w:rPr>
              <w:t>Excluded from CABANA</w:t>
            </w:r>
          </w:p>
        </w:tc>
        <w:tc>
          <w:tcPr>
            <w:tcW w:w="1733" w:type="dxa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33" w:type="dxa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1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10.0% (8.7%, 11.6%)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8.8% (7.5%, 10.3%)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0.88 (0.75, 1.04)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0.13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2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17.0% (15.1%, 19.1%)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14.0% (12.3%, 16.0%)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0.83 (0.73, 0.95)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0.008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3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21.9% (19.5%, 24.5%)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18.1% (16.0%, 20.5%)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0.83 (0.73, 0.94)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0.003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4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25.8% (22.9%, 28.9%)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22.9% (20.1%, 25.9%)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0.85 (0.75, 0.96)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0.007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5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30.3% (26.7%, 34.4%)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27.1% (23.6%, 31.0%)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0.85 (0.75, 0.95)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0.006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6 Year</w:t>
            </w:r>
          </w:p>
        </w:tc>
        <w:tc>
          <w:tcPr>
            <w:tcW w:w="234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34.6% (29.9%, 39.8%)</w:t>
            </w:r>
          </w:p>
        </w:tc>
        <w:tc>
          <w:tcPr>
            <w:tcW w:w="2430" w:type="dxa"/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30.7% (26.2%, 35.8%)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0.84 (0.75, 0.95)</w:t>
            </w:r>
          </w:p>
        </w:tc>
        <w:tc>
          <w:tcPr>
            <w:tcW w:w="1733" w:type="dxa"/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0.005</w:t>
            </w:r>
          </w:p>
        </w:tc>
      </w:tr>
      <w:tr w:rsidR="000870E9" w:rsidRPr="005E2C11" w:rsidTr="000870E9">
        <w:trPr>
          <w:trHeight w:val="239"/>
        </w:trPr>
        <w:tc>
          <w:tcPr>
            <w:tcW w:w="1638" w:type="dxa"/>
            <w:tcBorders>
              <w:bottom w:val="single" w:sz="4" w:space="0" w:color="auto"/>
            </w:tcBorders>
            <w:vAlign w:val="center"/>
          </w:tcPr>
          <w:p w:rsidR="000870E9" w:rsidRPr="005E2C11" w:rsidRDefault="000870E9" w:rsidP="00B11E52">
            <w:pPr>
              <w:rPr>
                <w:rFonts w:ascii="Times New Roman" w:hAnsi="Times New Roman" w:cs="Times New Roman"/>
              </w:rPr>
            </w:pPr>
            <w:r w:rsidRPr="005E2C11">
              <w:rPr>
                <w:rFonts w:ascii="Times New Roman" w:hAnsi="Times New Roman" w:cs="Times New Roman"/>
              </w:rPr>
              <w:t xml:space="preserve">     7 Year</w:t>
            </w:r>
          </w:p>
        </w:tc>
        <w:tc>
          <w:tcPr>
            <w:tcW w:w="2340" w:type="dxa"/>
            <w:tcBorders>
              <w:bottom w:val="single" w:sz="4" w:space="0" w:color="auto"/>
            </w:tcBorders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41.2% (33.4%, 50.0%)</w:t>
            </w:r>
          </w:p>
        </w:tc>
        <w:tc>
          <w:tcPr>
            <w:tcW w:w="2430" w:type="dxa"/>
            <w:tcBorders>
              <w:bottom w:val="single" w:sz="4" w:space="0" w:color="auto"/>
            </w:tcBorders>
            <w:vAlign w:val="center"/>
          </w:tcPr>
          <w:p w:rsidR="000870E9" w:rsidRPr="005E2C11" w:rsidRDefault="000870E9" w:rsidP="00B11E52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E2C11">
              <w:rPr>
                <w:rFonts w:ascii="Times New Roman" w:hAnsi="Times New Roman" w:cs="Times New Roman"/>
                <w:color w:val="000000"/>
              </w:rPr>
              <w:t>37.0% (30.4%, 44.5%)</w:t>
            </w: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0.85 (0.75, 0.95)</w:t>
            </w: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0870E9" w:rsidRDefault="000870E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0.006</w:t>
            </w:r>
          </w:p>
        </w:tc>
      </w:tr>
    </w:tbl>
    <w:p w:rsidR="00A40701" w:rsidRDefault="00A40701" w:rsidP="00444F8F">
      <w:pPr>
        <w:rPr>
          <w:rFonts w:ascii="Times New Roman" w:hAnsi="Times New Roman" w:cs="Times New Roman"/>
        </w:rPr>
      </w:pPr>
    </w:p>
    <w:p w:rsidR="00A40701" w:rsidRDefault="00A4070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D31F1" w:rsidRPr="005E2C11" w:rsidRDefault="0097677A" w:rsidP="007D31F1">
      <w:pPr>
        <w:spacing w:after="120" w:line="240" w:lineRule="auto"/>
        <w:rPr>
          <w:rFonts w:ascii="Times New Roman" w:hAnsi="Times New Roman" w:cs="Times New Roman"/>
          <w:b/>
          <w:sz w:val="24"/>
        </w:rPr>
      </w:pPr>
      <w:r w:rsidRPr="005E2C11">
        <w:rPr>
          <w:rFonts w:ascii="Times New Roman" w:hAnsi="Times New Roman" w:cs="Times New Roman"/>
          <w:b/>
          <w:sz w:val="24"/>
        </w:rPr>
        <w:lastRenderedPageBreak/>
        <w:t>Table</w:t>
      </w:r>
      <w:r w:rsidR="007D31F1" w:rsidRPr="005E2C11">
        <w:rPr>
          <w:rFonts w:ascii="Times New Roman" w:hAnsi="Times New Roman" w:cs="Times New Roman"/>
          <w:b/>
          <w:sz w:val="24"/>
        </w:rPr>
        <w:t xml:space="preserve"> </w:t>
      </w:r>
      <w:r w:rsidR="00CD185C">
        <w:rPr>
          <w:rFonts w:ascii="Times New Roman" w:hAnsi="Times New Roman" w:cs="Times New Roman"/>
          <w:b/>
          <w:sz w:val="24"/>
        </w:rPr>
        <w:t>S</w:t>
      </w:r>
      <w:r w:rsidR="00444F8F" w:rsidRPr="005E2C11">
        <w:rPr>
          <w:rFonts w:ascii="Times New Roman" w:hAnsi="Times New Roman" w:cs="Times New Roman"/>
          <w:b/>
          <w:sz w:val="24"/>
          <w:lang w:eastAsia="zh-CN"/>
        </w:rPr>
        <w:t>8</w:t>
      </w:r>
      <w:r w:rsidR="007D31F1" w:rsidRPr="005E2C11">
        <w:rPr>
          <w:rFonts w:ascii="Times New Roman" w:hAnsi="Times New Roman" w:cs="Times New Roman"/>
          <w:b/>
          <w:sz w:val="24"/>
          <w:lang w:eastAsia="zh-CN"/>
        </w:rPr>
        <w:t xml:space="preserve">. </w:t>
      </w:r>
      <w:r w:rsidR="007D31F1" w:rsidRPr="005E2C11">
        <w:rPr>
          <w:rFonts w:ascii="Times New Roman" w:hAnsi="Times New Roman" w:cs="Times New Roman"/>
          <w:b/>
          <w:sz w:val="24"/>
        </w:rPr>
        <w:t>Sensitivity Analysis Using 1:1 Propensity Score Matching</w:t>
      </w:r>
    </w:p>
    <w:tbl>
      <w:tblPr>
        <w:tblW w:w="9660" w:type="dxa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58"/>
        <w:gridCol w:w="180"/>
        <w:gridCol w:w="1353"/>
        <w:gridCol w:w="39"/>
        <w:gridCol w:w="3198"/>
        <w:gridCol w:w="90"/>
        <w:gridCol w:w="1464"/>
        <w:gridCol w:w="78"/>
      </w:tblGrid>
      <w:tr w:rsidR="007D31F1" w:rsidRPr="005E2C11" w:rsidTr="00AB521B">
        <w:trPr>
          <w:gridAfter w:val="1"/>
          <w:wAfter w:w="78" w:type="dxa"/>
          <w:trHeight w:val="302"/>
        </w:trPr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7D31F1" w:rsidRPr="005E2C11" w:rsidRDefault="007D31F1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53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N</w:t>
            </w:r>
          </w:p>
        </w:tc>
        <w:tc>
          <w:tcPr>
            <w:tcW w:w="3237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Hazard Ratio, 95 CI</w:t>
            </w:r>
          </w:p>
        </w:tc>
        <w:tc>
          <w:tcPr>
            <w:tcW w:w="1554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p value</w:t>
            </w:r>
          </w:p>
        </w:tc>
      </w:tr>
      <w:tr w:rsidR="007D31F1" w:rsidRPr="005E2C11" w:rsidTr="00AB521B">
        <w:trPr>
          <w:trHeight w:val="302"/>
        </w:trPr>
        <w:tc>
          <w:tcPr>
            <w:tcW w:w="3438" w:type="dxa"/>
            <w:gridSpan w:val="2"/>
            <w:tcBorders>
              <w:top w:val="single" w:sz="4" w:space="0" w:color="auto"/>
              <w:bottom w:val="nil"/>
            </w:tcBorders>
            <w:noWrap/>
            <w:vAlign w:val="center"/>
          </w:tcPr>
          <w:p w:rsidR="007D31F1" w:rsidRPr="005E2C11" w:rsidRDefault="007D31F1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All Patients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bottom w:val="nil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18,242</w:t>
            </w:r>
          </w:p>
        </w:tc>
        <w:tc>
          <w:tcPr>
            <w:tcW w:w="3288" w:type="dxa"/>
            <w:gridSpan w:val="2"/>
            <w:tcBorders>
              <w:top w:val="single" w:sz="4" w:space="0" w:color="auto"/>
              <w:bottom w:val="nil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0.70 (0.64, 0.77)</w:t>
            </w:r>
          </w:p>
        </w:tc>
        <w:tc>
          <w:tcPr>
            <w:tcW w:w="1542" w:type="dxa"/>
            <w:gridSpan w:val="2"/>
            <w:tcBorders>
              <w:top w:val="single" w:sz="4" w:space="0" w:color="auto"/>
              <w:bottom w:val="nil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&lt;0.001</w:t>
            </w:r>
          </w:p>
        </w:tc>
      </w:tr>
      <w:tr w:rsidR="007D31F1" w:rsidRPr="005E2C11" w:rsidTr="00AB521B">
        <w:trPr>
          <w:trHeight w:val="302"/>
        </w:trPr>
        <w:tc>
          <w:tcPr>
            <w:tcW w:w="3438" w:type="dxa"/>
            <w:gridSpan w:val="2"/>
            <w:tcBorders>
              <w:top w:val="nil"/>
            </w:tcBorders>
            <w:noWrap/>
            <w:vAlign w:val="center"/>
          </w:tcPr>
          <w:p w:rsidR="007D31F1" w:rsidRPr="005E2C11" w:rsidRDefault="007D31F1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 xml:space="preserve">Eligible for CABANA </w:t>
            </w:r>
          </w:p>
        </w:tc>
        <w:tc>
          <w:tcPr>
            <w:tcW w:w="1392" w:type="dxa"/>
            <w:gridSpan w:val="2"/>
            <w:tcBorders>
              <w:top w:val="nil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11,692</w:t>
            </w:r>
          </w:p>
        </w:tc>
        <w:tc>
          <w:tcPr>
            <w:tcW w:w="3288" w:type="dxa"/>
            <w:gridSpan w:val="2"/>
            <w:tcBorders>
              <w:top w:val="nil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0.62 (0.55, 0.70)</w:t>
            </w:r>
          </w:p>
        </w:tc>
        <w:tc>
          <w:tcPr>
            <w:tcW w:w="1542" w:type="dxa"/>
            <w:gridSpan w:val="2"/>
            <w:tcBorders>
              <w:top w:val="nil"/>
            </w:tcBorders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&lt;0.001</w:t>
            </w:r>
          </w:p>
        </w:tc>
      </w:tr>
      <w:tr w:rsidR="007D31F1" w:rsidRPr="005E2C11" w:rsidTr="00AB521B">
        <w:trPr>
          <w:trHeight w:val="302"/>
        </w:trPr>
        <w:tc>
          <w:tcPr>
            <w:tcW w:w="3438" w:type="dxa"/>
            <w:gridSpan w:val="2"/>
            <w:noWrap/>
            <w:vAlign w:val="center"/>
          </w:tcPr>
          <w:p w:rsidR="007D31F1" w:rsidRPr="005E2C11" w:rsidRDefault="007D31F1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 xml:space="preserve">Fail to Meet Inclusion for CABANA </w:t>
            </w:r>
          </w:p>
        </w:tc>
        <w:tc>
          <w:tcPr>
            <w:tcW w:w="1392" w:type="dxa"/>
            <w:gridSpan w:val="2"/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1,088</w:t>
            </w:r>
          </w:p>
        </w:tc>
        <w:tc>
          <w:tcPr>
            <w:tcW w:w="3288" w:type="dxa"/>
            <w:gridSpan w:val="2"/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0.55 (0.22, 1.41)</w:t>
            </w:r>
          </w:p>
        </w:tc>
        <w:tc>
          <w:tcPr>
            <w:tcW w:w="1542" w:type="dxa"/>
            <w:gridSpan w:val="2"/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0.21</w:t>
            </w:r>
          </w:p>
        </w:tc>
      </w:tr>
      <w:tr w:rsidR="007D31F1" w:rsidRPr="005E2C11" w:rsidTr="00AB521B">
        <w:trPr>
          <w:trHeight w:val="302"/>
        </w:trPr>
        <w:tc>
          <w:tcPr>
            <w:tcW w:w="3438" w:type="dxa"/>
            <w:gridSpan w:val="2"/>
            <w:noWrap/>
            <w:vAlign w:val="center"/>
          </w:tcPr>
          <w:p w:rsidR="007D31F1" w:rsidRPr="005E2C11" w:rsidRDefault="007D31F1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 xml:space="preserve">Excluded from CABANA </w:t>
            </w:r>
          </w:p>
        </w:tc>
        <w:tc>
          <w:tcPr>
            <w:tcW w:w="1392" w:type="dxa"/>
            <w:gridSpan w:val="2"/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5,462</w:t>
            </w:r>
          </w:p>
        </w:tc>
        <w:tc>
          <w:tcPr>
            <w:tcW w:w="3288" w:type="dxa"/>
            <w:gridSpan w:val="2"/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0.85 (0.74, 0.97)</w:t>
            </w:r>
          </w:p>
        </w:tc>
        <w:tc>
          <w:tcPr>
            <w:tcW w:w="1542" w:type="dxa"/>
            <w:gridSpan w:val="2"/>
            <w:vAlign w:val="center"/>
          </w:tcPr>
          <w:p w:rsidR="007D31F1" w:rsidRPr="005E2C11" w:rsidRDefault="007D31F1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0.02</w:t>
            </w:r>
          </w:p>
        </w:tc>
      </w:tr>
    </w:tbl>
    <w:p w:rsidR="007D31F1" w:rsidRPr="005E2C11" w:rsidRDefault="007D31F1" w:rsidP="007D31F1">
      <w:pPr>
        <w:rPr>
          <w:rFonts w:ascii="Times New Roman" w:hAnsi="Times New Roman" w:cs="Times New Roman"/>
        </w:rPr>
      </w:pPr>
    </w:p>
    <w:p w:rsidR="00B72F25" w:rsidRDefault="00B72F25" w:rsidP="007D31F1">
      <w:pPr>
        <w:rPr>
          <w:rFonts w:ascii="Times New Roman" w:hAnsi="Times New Roman" w:cs="Times New Roman"/>
        </w:rPr>
        <w:sectPr w:rsidR="00B72F25" w:rsidSect="00A4070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016D34" w:rsidRPr="005E2C11" w:rsidRDefault="0097677A" w:rsidP="00016D34">
      <w:pPr>
        <w:rPr>
          <w:rFonts w:ascii="Times New Roman" w:hAnsi="Times New Roman" w:cs="Times New Roman"/>
          <w:b/>
          <w:sz w:val="24"/>
          <w:szCs w:val="20"/>
        </w:rPr>
      </w:pPr>
      <w:r w:rsidRPr="005E2C11">
        <w:rPr>
          <w:rFonts w:ascii="Times New Roman" w:hAnsi="Times New Roman" w:cs="Times New Roman"/>
          <w:b/>
          <w:sz w:val="24"/>
          <w:szCs w:val="20"/>
        </w:rPr>
        <w:lastRenderedPageBreak/>
        <w:t>Table</w:t>
      </w:r>
      <w:r w:rsidR="00512D22" w:rsidRPr="005E2C11">
        <w:rPr>
          <w:rFonts w:ascii="Times New Roman" w:hAnsi="Times New Roman" w:cs="Times New Roman"/>
          <w:b/>
          <w:sz w:val="24"/>
          <w:szCs w:val="20"/>
        </w:rPr>
        <w:t xml:space="preserve"> </w:t>
      </w:r>
      <w:r w:rsidR="006A2CEC">
        <w:rPr>
          <w:rFonts w:ascii="Times New Roman" w:hAnsi="Times New Roman" w:cs="Times New Roman"/>
          <w:b/>
          <w:sz w:val="24"/>
          <w:szCs w:val="20"/>
        </w:rPr>
        <w:t>S</w:t>
      </w:r>
      <w:r w:rsidR="00444F8F" w:rsidRPr="005E2C11">
        <w:rPr>
          <w:rFonts w:ascii="Times New Roman" w:hAnsi="Times New Roman" w:cs="Times New Roman"/>
          <w:b/>
          <w:sz w:val="24"/>
          <w:szCs w:val="20"/>
        </w:rPr>
        <w:t>9</w:t>
      </w:r>
      <w:r w:rsidR="00016D34" w:rsidRPr="005E2C11">
        <w:rPr>
          <w:rFonts w:ascii="Times New Roman" w:hAnsi="Times New Roman" w:cs="Times New Roman"/>
          <w:b/>
          <w:sz w:val="24"/>
          <w:szCs w:val="20"/>
        </w:rPr>
        <w:t>. Sensitivity Analyses Stratified by Treatment with AAD or Rate Control Drugs in the Medical Therapy Cohort</w:t>
      </w:r>
    </w:p>
    <w:tbl>
      <w:tblPr>
        <w:tblW w:w="11134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521"/>
        <w:gridCol w:w="1799"/>
        <w:gridCol w:w="1262"/>
        <w:gridCol w:w="1724"/>
        <w:gridCol w:w="834"/>
        <w:gridCol w:w="1850"/>
        <w:gridCol w:w="1144"/>
      </w:tblGrid>
      <w:tr w:rsidR="00016D34" w:rsidRPr="005E2C11" w:rsidTr="00F27603">
        <w:trPr>
          <w:trHeight w:val="302"/>
        </w:trPr>
        <w:tc>
          <w:tcPr>
            <w:tcW w:w="25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0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 vs. Medical Therapy</w:t>
            </w:r>
          </w:p>
        </w:tc>
        <w:tc>
          <w:tcPr>
            <w:tcW w:w="25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 vs. AAD</w:t>
            </w:r>
          </w:p>
        </w:tc>
        <w:tc>
          <w:tcPr>
            <w:tcW w:w="2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184522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 vs. Rate Control</w:t>
            </w:r>
            <w:r w:rsidR="00184522"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 xml:space="preserve"> Only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Hazard Ratio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</w:t>
            </w:r>
          </w:p>
        </w:tc>
        <w:tc>
          <w:tcPr>
            <w:tcW w:w="17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Hazard Ratio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</w:t>
            </w:r>
          </w:p>
        </w:tc>
        <w:tc>
          <w:tcPr>
            <w:tcW w:w="1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Hazard Ratio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Overall</w:t>
            </w:r>
          </w:p>
        </w:tc>
        <w:tc>
          <w:tcPr>
            <w:tcW w:w="17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0.75 (0.70, 0.81)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7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0.78 (0.72, 0.84)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0.75 (0.69, 0.81)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Eligible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0.70 (0.63, 0.77)</w:t>
            </w: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0.72 (0.65, 0.81)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0.70 (0.63, 0.77)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Failed Inclusion Criterion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0.67 (0.29, 1.56)</w:t>
            </w: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0.35</w:t>
            </w: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0.59 (0.23, 1.50)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0.27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0.73 (0.29, 1.81)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0.49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Met Exclusion Criteria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0.85 (0.75, 0.95)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0.90 (0.78, 1.03)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0.11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0.83 (0.73, 0.94)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&lt;0.01</w:t>
            </w:r>
          </w:p>
        </w:tc>
      </w:tr>
    </w:tbl>
    <w:p w:rsidR="00016D34" w:rsidRPr="005E2C11" w:rsidRDefault="00EA6953" w:rsidP="00016D34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First, we recalculated p</w:t>
      </w:r>
      <w:r w:rsidR="00016D34" w:rsidRPr="005E2C11">
        <w:rPr>
          <w:rFonts w:ascii="Times New Roman" w:hAnsi="Times New Roman" w:cs="Times New Roman"/>
          <w:sz w:val="20"/>
        </w:rPr>
        <w:t xml:space="preserve">ropensity score weights to balance patients treated with ablation and patients treated with AAD </w:t>
      </w:r>
      <w:r>
        <w:rPr>
          <w:rFonts w:ascii="Times New Roman" w:hAnsi="Times New Roman" w:cs="Times New Roman"/>
          <w:sz w:val="20"/>
        </w:rPr>
        <w:t xml:space="preserve">and performed regression analyses to compare ablation to AAD; we then </w:t>
      </w:r>
      <w:r w:rsidR="00016D34" w:rsidRPr="005E2C11">
        <w:rPr>
          <w:rFonts w:ascii="Times New Roman" w:hAnsi="Times New Roman" w:cs="Times New Roman"/>
          <w:sz w:val="20"/>
        </w:rPr>
        <w:t xml:space="preserve">recalculated </w:t>
      </w:r>
      <w:r>
        <w:rPr>
          <w:rFonts w:ascii="Times New Roman" w:hAnsi="Times New Roman" w:cs="Times New Roman"/>
          <w:sz w:val="20"/>
        </w:rPr>
        <w:t xml:space="preserve">the weights </w:t>
      </w:r>
      <w:r w:rsidR="00016D34" w:rsidRPr="005E2C11">
        <w:rPr>
          <w:rFonts w:ascii="Times New Roman" w:hAnsi="Times New Roman" w:cs="Times New Roman"/>
          <w:sz w:val="20"/>
        </w:rPr>
        <w:t>to balance patients treated with ablation and patients treated with rate control drugs</w:t>
      </w:r>
      <w:r>
        <w:rPr>
          <w:rFonts w:ascii="Times New Roman" w:hAnsi="Times New Roman" w:cs="Times New Roman"/>
          <w:sz w:val="20"/>
        </w:rPr>
        <w:t xml:space="preserve"> and performed regression analyses to compare ablation to rate control drugs</w:t>
      </w:r>
      <w:r w:rsidR="00016D34" w:rsidRPr="005E2C11">
        <w:rPr>
          <w:rFonts w:ascii="Times New Roman" w:hAnsi="Times New Roman" w:cs="Times New Roman"/>
          <w:sz w:val="20"/>
        </w:rPr>
        <w:t xml:space="preserve">. </w:t>
      </w:r>
      <w:r w:rsidR="005E72D0" w:rsidRPr="005E2C11">
        <w:rPr>
          <w:rFonts w:ascii="Times New Roman" w:hAnsi="Times New Roman" w:cs="Times New Roman"/>
          <w:sz w:val="20"/>
        </w:rPr>
        <w:t>Among the drug-treated patients</w:t>
      </w:r>
      <w:r w:rsidR="000B4473">
        <w:rPr>
          <w:rFonts w:ascii="Times New Roman" w:hAnsi="Times New Roman" w:cs="Times New Roman"/>
          <w:sz w:val="20"/>
        </w:rPr>
        <w:t>,</w:t>
      </w:r>
      <w:r w:rsidR="005E72D0" w:rsidRPr="005E2C11">
        <w:rPr>
          <w:rFonts w:ascii="Times New Roman" w:hAnsi="Times New Roman" w:cs="Times New Roman"/>
          <w:sz w:val="20"/>
        </w:rPr>
        <w:t xml:space="preserve"> 11% were treated with both AADs and rate control drugs, and such patients were classified to </w:t>
      </w:r>
      <w:r w:rsidR="00D434A7">
        <w:rPr>
          <w:rFonts w:ascii="Times New Roman" w:hAnsi="Times New Roman" w:cs="Times New Roman"/>
          <w:sz w:val="20"/>
        </w:rPr>
        <w:t xml:space="preserve">the </w:t>
      </w:r>
      <w:r w:rsidR="005E72D0" w:rsidRPr="005E2C11">
        <w:rPr>
          <w:rFonts w:ascii="Times New Roman" w:hAnsi="Times New Roman" w:cs="Times New Roman"/>
          <w:sz w:val="20"/>
        </w:rPr>
        <w:t>AAD group</w:t>
      </w:r>
      <w:r w:rsidR="00184522" w:rsidRPr="005E2C11">
        <w:rPr>
          <w:rFonts w:ascii="Times New Roman" w:hAnsi="Times New Roman" w:cs="Times New Roman"/>
          <w:sz w:val="20"/>
        </w:rPr>
        <w:t>.</w:t>
      </w:r>
      <w:r w:rsidR="005E72D0" w:rsidRPr="005E2C11">
        <w:rPr>
          <w:rFonts w:ascii="Times New Roman" w:hAnsi="Times New Roman" w:cs="Times New Roman"/>
          <w:sz w:val="20"/>
        </w:rPr>
        <w:t xml:space="preserve"> </w:t>
      </w:r>
    </w:p>
    <w:p w:rsidR="00016D34" w:rsidRPr="005E2C11" w:rsidRDefault="00016D34" w:rsidP="00016D34">
      <w:pPr>
        <w:rPr>
          <w:rFonts w:ascii="Times New Roman" w:hAnsi="Times New Roman" w:cs="Times New Roman"/>
          <w:b/>
          <w:sz w:val="24"/>
          <w:szCs w:val="20"/>
        </w:rPr>
      </w:pPr>
    </w:p>
    <w:p w:rsidR="00016D34" w:rsidRPr="005E2C11" w:rsidRDefault="00016D34">
      <w:pPr>
        <w:rPr>
          <w:rFonts w:ascii="Times New Roman" w:hAnsi="Times New Roman" w:cs="Times New Roman"/>
          <w:b/>
          <w:sz w:val="24"/>
          <w:szCs w:val="20"/>
        </w:rPr>
      </w:pPr>
      <w:r w:rsidRPr="005E2C11">
        <w:rPr>
          <w:rFonts w:ascii="Times New Roman" w:hAnsi="Times New Roman" w:cs="Times New Roman"/>
          <w:b/>
          <w:sz w:val="24"/>
          <w:szCs w:val="20"/>
        </w:rPr>
        <w:br w:type="page"/>
      </w:r>
    </w:p>
    <w:p w:rsidR="00016D34" w:rsidRPr="005E2C11" w:rsidRDefault="0097677A" w:rsidP="00016D34">
      <w:pPr>
        <w:rPr>
          <w:rFonts w:ascii="Times New Roman" w:hAnsi="Times New Roman" w:cs="Times New Roman"/>
          <w:b/>
          <w:sz w:val="24"/>
          <w:szCs w:val="20"/>
        </w:rPr>
      </w:pPr>
      <w:r w:rsidRPr="005E2C11">
        <w:rPr>
          <w:rFonts w:ascii="Times New Roman" w:hAnsi="Times New Roman" w:cs="Times New Roman"/>
          <w:b/>
          <w:sz w:val="24"/>
          <w:szCs w:val="20"/>
        </w:rPr>
        <w:lastRenderedPageBreak/>
        <w:t>Table</w:t>
      </w:r>
      <w:r w:rsidR="00512D22" w:rsidRPr="005E2C11">
        <w:rPr>
          <w:rFonts w:ascii="Times New Roman" w:hAnsi="Times New Roman" w:cs="Times New Roman"/>
          <w:b/>
          <w:sz w:val="24"/>
          <w:szCs w:val="20"/>
        </w:rPr>
        <w:t xml:space="preserve"> </w:t>
      </w:r>
      <w:r w:rsidR="006A2CEC">
        <w:rPr>
          <w:rFonts w:ascii="Times New Roman" w:hAnsi="Times New Roman" w:cs="Times New Roman"/>
          <w:b/>
          <w:sz w:val="24"/>
          <w:szCs w:val="20"/>
        </w:rPr>
        <w:t>S</w:t>
      </w:r>
      <w:r w:rsidR="00444F8F" w:rsidRPr="005E2C11">
        <w:rPr>
          <w:rFonts w:ascii="Times New Roman" w:hAnsi="Times New Roman" w:cs="Times New Roman"/>
          <w:b/>
          <w:sz w:val="24"/>
          <w:szCs w:val="20"/>
        </w:rPr>
        <w:t>10</w:t>
      </w:r>
      <w:r w:rsidR="00016D34" w:rsidRPr="005E2C11">
        <w:rPr>
          <w:rFonts w:ascii="Times New Roman" w:hAnsi="Times New Roman" w:cs="Times New Roman"/>
          <w:b/>
          <w:sz w:val="24"/>
          <w:szCs w:val="20"/>
        </w:rPr>
        <w:t>. Sensitivity Analyses Stratified by Adherence in the Medical Therapy Cohort</w:t>
      </w:r>
    </w:p>
    <w:tbl>
      <w:tblPr>
        <w:tblW w:w="11134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521"/>
        <w:gridCol w:w="1799"/>
        <w:gridCol w:w="1262"/>
        <w:gridCol w:w="1724"/>
        <w:gridCol w:w="834"/>
        <w:gridCol w:w="1850"/>
        <w:gridCol w:w="1144"/>
      </w:tblGrid>
      <w:tr w:rsidR="00016D34" w:rsidRPr="005E2C11" w:rsidTr="00F27603">
        <w:trPr>
          <w:trHeight w:val="302"/>
        </w:trPr>
        <w:tc>
          <w:tcPr>
            <w:tcW w:w="25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30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 vs. Medical Therapy</w:t>
            </w:r>
          </w:p>
        </w:tc>
        <w:tc>
          <w:tcPr>
            <w:tcW w:w="25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 vs. Adherent drug treated patients</w:t>
            </w:r>
          </w:p>
        </w:tc>
        <w:tc>
          <w:tcPr>
            <w:tcW w:w="29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Ablation vs. Non-adherent drug treated patients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Hazard Ratio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</w:t>
            </w:r>
          </w:p>
        </w:tc>
        <w:tc>
          <w:tcPr>
            <w:tcW w:w="17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Hazard Ratio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</w:t>
            </w:r>
          </w:p>
        </w:tc>
        <w:tc>
          <w:tcPr>
            <w:tcW w:w="1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Hazard Ratio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p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Overall</w:t>
            </w:r>
          </w:p>
        </w:tc>
        <w:tc>
          <w:tcPr>
            <w:tcW w:w="17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0.75 (0.70, 0.81)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7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0.77 (0.71, 0.83)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0.73 (0.67, 0.80)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Eligible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0.70 (0.63, 0.77)</w:t>
            </w: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0.71 (0.64, 0.78)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0.69 (0.62, 0.77)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Failed Inclusion Criterion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0.67 (0.29, 1.56)</w:t>
            </w: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0.35</w:t>
            </w:r>
          </w:p>
        </w:tc>
        <w:tc>
          <w:tcPr>
            <w:tcW w:w="172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0.60 (0.24, 1.49)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0.27</w:t>
            </w:r>
          </w:p>
        </w:tc>
        <w:tc>
          <w:tcPr>
            <w:tcW w:w="1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0.66 (0.25, 1.70)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0.39</w:t>
            </w:r>
          </w:p>
        </w:tc>
      </w:tr>
      <w:tr w:rsidR="00016D34" w:rsidRPr="005E2C11" w:rsidTr="00F27603">
        <w:trPr>
          <w:trHeight w:val="302"/>
        </w:trPr>
        <w:tc>
          <w:tcPr>
            <w:tcW w:w="25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Met Exclusion Criteria</w:t>
            </w:r>
          </w:p>
        </w:tc>
        <w:tc>
          <w:tcPr>
            <w:tcW w:w="17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0.85 (0.75, 0.95)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17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0.89 (0.79, 1.01)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0.08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0.80 (0.69, 0.92)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&lt;0.01</w:t>
            </w:r>
          </w:p>
        </w:tc>
      </w:tr>
    </w:tbl>
    <w:p w:rsidR="004006AD" w:rsidRPr="005E2C11" w:rsidRDefault="00016D34" w:rsidP="00016D34">
      <w:pPr>
        <w:rPr>
          <w:rFonts w:ascii="Times New Roman" w:hAnsi="Times New Roman" w:cs="Times New Roman"/>
          <w:sz w:val="20"/>
        </w:rPr>
      </w:pPr>
      <w:r w:rsidRPr="005E2C11">
        <w:rPr>
          <w:rFonts w:ascii="Times New Roman" w:hAnsi="Times New Roman" w:cs="Times New Roman"/>
          <w:sz w:val="20"/>
        </w:rPr>
        <w:t>Adherence was defined as proportion of days covered (PDC)</w:t>
      </w:r>
      <w:r w:rsidR="004102E2">
        <w:rPr>
          <w:rFonts w:ascii="Times New Roman" w:hAnsi="Times New Roman" w:cs="Times New Roman"/>
          <w:sz w:val="20"/>
        </w:rPr>
        <w:t xml:space="preserve"> </w:t>
      </w:r>
      <w:r w:rsidRPr="005E2C11">
        <w:rPr>
          <w:rFonts w:ascii="Times New Roman" w:hAnsi="Times New Roman" w:cs="Times New Roman"/>
          <w:sz w:val="20"/>
        </w:rPr>
        <w:t xml:space="preserve">≥80%. The adherence considered all rate or rhythm control drugs that patients used during follow up, even if they were different </w:t>
      </w:r>
      <w:r w:rsidR="000747BA" w:rsidRPr="005E2C11">
        <w:rPr>
          <w:rFonts w:ascii="Times New Roman" w:hAnsi="Times New Roman" w:cs="Times New Roman"/>
          <w:sz w:val="20"/>
        </w:rPr>
        <w:t>from</w:t>
      </w:r>
      <w:r w:rsidRPr="005E2C11">
        <w:rPr>
          <w:rFonts w:ascii="Times New Roman" w:hAnsi="Times New Roman" w:cs="Times New Roman"/>
          <w:sz w:val="20"/>
        </w:rPr>
        <w:t xml:space="preserve"> the initial treatment. </w:t>
      </w:r>
      <w:r w:rsidR="00377303" w:rsidRPr="00377303">
        <w:rPr>
          <w:rFonts w:ascii="Times New Roman" w:hAnsi="Times New Roman" w:cs="Times New Roman" w:hint="eastAsia"/>
          <w:sz w:val="20"/>
        </w:rPr>
        <w:t>Among the drug-treated patients, the median PDC for AADs or rate control drugs was 86% (interquartile range [IQR] 58-96%), and 59% of patients had PDC</w:t>
      </w:r>
      <w:r w:rsidR="00377303" w:rsidRPr="005E2C11">
        <w:rPr>
          <w:rFonts w:ascii="Times New Roman" w:hAnsi="Times New Roman" w:cs="Times New Roman"/>
          <w:sz w:val="20"/>
        </w:rPr>
        <w:t>≥</w:t>
      </w:r>
      <w:r w:rsidR="00377303" w:rsidRPr="00377303">
        <w:rPr>
          <w:rFonts w:ascii="Times New Roman" w:hAnsi="Times New Roman" w:cs="Times New Roman" w:hint="eastAsia"/>
          <w:sz w:val="20"/>
        </w:rPr>
        <w:t xml:space="preserve">80%. </w:t>
      </w:r>
      <w:r w:rsidR="004006AD">
        <w:rPr>
          <w:rFonts w:ascii="Times New Roman" w:hAnsi="Times New Roman" w:cs="Times New Roman"/>
          <w:sz w:val="20"/>
        </w:rPr>
        <w:t>We first</w:t>
      </w:r>
      <w:r w:rsidR="004006AD" w:rsidRPr="004006AD">
        <w:rPr>
          <w:rFonts w:ascii="Times New Roman" w:hAnsi="Times New Roman" w:cs="Times New Roman"/>
          <w:sz w:val="20"/>
        </w:rPr>
        <w:t xml:space="preserve"> recalculate</w:t>
      </w:r>
      <w:r w:rsidR="004006AD">
        <w:rPr>
          <w:rFonts w:ascii="Times New Roman" w:hAnsi="Times New Roman" w:cs="Times New Roman"/>
          <w:sz w:val="20"/>
        </w:rPr>
        <w:t>d</w:t>
      </w:r>
      <w:r w:rsidR="004006AD" w:rsidRPr="004006AD">
        <w:rPr>
          <w:rFonts w:ascii="Times New Roman" w:hAnsi="Times New Roman" w:cs="Times New Roman"/>
          <w:sz w:val="20"/>
        </w:rPr>
        <w:t xml:space="preserve"> the propensity score weights to balance patients </w:t>
      </w:r>
      <w:r w:rsidR="004006AD">
        <w:rPr>
          <w:rFonts w:ascii="Times New Roman" w:hAnsi="Times New Roman" w:cs="Times New Roman"/>
          <w:sz w:val="20"/>
        </w:rPr>
        <w:t xml:space="preserve">who were </w:t>
      </w:r>
      <w:r w:rsidR="004006AD" w:rsidRPr="004006AD">
        <w:rPr>
          <w:rFonts w:ascii="Times New Roman" w:hAnsi="Times New Roman" w:cs="Times New Roman"/>
          <w:sz w:val="20"/>
        </w:rPr>
        <w:t>treated with ablation and patients who were treated with medical therapy and adherent and perform</w:t>
      </w:r>
      <w:r w:rsidR="004006AD">
        <w:rPr>
          <w:rFonts w:ascii="Times New Roman" w:hAnsi="Times New Roman" w:cs="Times New Roman"/>
          <w:sz w:val="20"/>
        </w:rPr>
        <w:t>ed</w:t>
      </w:r>
      <w:r w:rsidR="004006AD" w:rsidRPr="004006AD">
        <w:rPr>
          <w:rFonts w:ascii="Times New Roman" w:hAnsi="Times New Roman" w:cs="Times New Roman"/>
          <w:sz w:val="20"/>
        </w:rPr>
        <w:t xml:space="preserve"> regression analyses to compare ablated patients to adherent drug-treated patients; we </w:t>
      </w:r>
      <w:r w:rsidR="004006AD">
        <w:rPr>
          <w:rFonts w:ascii="Times New Roman" w:hAnsi="Times New Roman" w:cs="Times New Roman"/>
          <w:sz w:val="20"/>
        </w:rPr>
        <w:t>then</w:t>
      </w:r>
      <w:r w:rsidR="004006AD" w:rsidRPr="004006AD">
        <w:rPr>
          <w:rFonts w:ascii="Times New Roman" w:hAnsi="Times New Roman" w:cs="Times New Roman"/>
          <w:sz w:val="20"/>
        </w:rPr>
        <w:t xml:space="preserve"> recalculate</w:t>
      </w:r>
      <w:r w:rsidR="004006AD">
        <w:rPr>
          <w:rFonts w:ascii="Times New Roman" w:hAnsi="Times New Roman" w:cs="Times New Roman"/>
          <w:sz w:val="20"/>
        </w:rPr>
        <w:t>d</w:t>
      </w:r>
      <w:r w:rsidR="004006AD" w:rsidRPr="004006AD">
        <w:rPr>
          <w:rFonts w:ascii="Times New Roman" w:hAnsi="Times New Roman" w:cs="Times New Roman"/>
          <w:sz w:val="20"/>
        </w:rPr>
        <w:t xml:space="preserve"> the weights to balance patients </w:t>
      </w:r>
      <w:r w:rsidR="002A3BC5">
        <w:rPr>
          <w:rFonts w:ascii="Times New Roman" w:hAnsi="Times New Roman" w:cs="Times New Roman"/>
          <w:sz w:val="20"/>
        </w:rPr>
        <w:t xml:space="preserve">who were </w:t>
      </w:r>
      <w:r w:rsidR="004006AD" w:rsidRPr="004006AD">
        <w:rPr>
          <w:rFonts w:ascii="Times New Roman" w:hAnsi="Times New Roman" w:cs="Times New Roman"/>
          <w:sz w:val="20"/>
        </w:rPr>
        <w:t>treated with ablation and patients who were treated with medical therapy and not adherent and perform</w:t>
      </w:r>
      <w:r w:rsidR="002A3BC5">
        <w:rPr>
          <w:rFonts w:ascii="Times New Roman" w:hAnsi="Times New Roman" w:cs="Times New Roman"/>
          <w:sz w:val="20"/>
        </w:rPr>
        <w:t>ed</w:t>
      </w:r>
      <w:r w:rsidR="004006AD" w:rsidRPr="004006AD">
        <w:rPr>
          <w:rFonts w:ascii="Times New Roman" w:hAnsi="Times New Roman" w:cs="Times New Roman"/>
          <w:sz w:val="20"/>
        </w:rPr>
        <w:t xml:space="preserve"> regression analyses to compare ablated patients to non-adherent drug-treated patients</w:t>
      </w:r>
    </w:p>
    <w:p w:rsidR="00016D34" w:rsidRPr="005E2C11" w:rsidRDefault="00016D34" w:rsidP="00016D34">
      <w:pPr>
        <w:rPr>
          <w:rFonts w:ascii="Times New Roman" w:hAnsi="Times New Roman" w:cs="Times New Roman"/>
          <w:sz w:val="20"/>
        </w:rPr>
      </w:pPr>
    </w:p>
    <w:p w:rsidR="00D65543" w:rsidRDefault="00D65543" w:rsidP="00016D34">
      <w:pPr>
        <w:spacing w:line="259" w:lineRule="auto"/>
        <w:rPr>
          <w:rFonts w:ascii="Times New Roman" w:hAnsi="Times New Roman" w:cs="Times New Roman"/>
        </w:rPr>
        <w:sectPr w:rsidR="00D65543" w:rsidSect="00E51145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547E76" w:rsidRPr="005E2C11" w:rsidRDefault="008D4509" w:rsidP="008D4509">
      <w:pPr>
        <w:rPr>
          <w:rFonts w:ascii="Times New Roman" w:hAnsi="Times New Roman" w:cs="Times New Roman"/>
          <w:b/>
          <w:sz w:val="24"/>
        </w:rPr>
      </w:pPr>
      <w:r w:rsidRPr="005E2C11">
        <w:rPr>
          <w:rFonts w:ascii="Times New Roman" w:hAnsi="Times New Roman" w:cs="Times New Roman"/>
          <w:b/>
          <w:sz w:val="24"/>
        </w:rPr>
        <w:lastRenderedPageBreak/>
        <w:t xml:space="preserve">Table </w:t>
      </w:r>
      <w:r>
        <w:rPr>
          <w:rFonts w:ascii="Times New Roman" w:hAnsi="Times New Roman" w:cs="Times New Roman"/>
          <w:b/>
          <w:sz w:val="24"/>
        </w:rPr>
        <w:t>S</w:t>
      </w:r>
      <w:r w:rsidRPr="005E2C11">
        <w:rPr>
          <w:rFonts w:ascii="Times New Roman" w:hAnsi="Times New Roman" w:cs="Times New Roman"/>
          <w:b/>
          <w:sz w:val="24"/>
        </w:rPr>
        <w:t xml:space="preserve">11. </w:t>
      </w:r>
      <w:r w:rsidR="00547E76">
        <w:rPr>
          <w:rFonts w:ascii="Times New Roman" w:hAnsi="Times New Roman" w:cs="Times New Roman"/>
          <w:b/>
          <w:sz w:val="24"/>
        </w:rPr>
        <w:t xml:space="preserve">Sensitivity Analyses to </w:t>
      </w:r>
      <w:r w:rsidR="00F72930">
        <w:rPr>
          <w:rFonts w:ascii="Times New Roman" w:hAnsi="Times New Roman" w:cs="Times New Roman"/>
          <w:b/>
          <w:sz w:val="24"/>
        </w:rPr>
        <w:t>Explore the Impact of Protocol Deviation on</w:t>
      </w:r>
      <w:r w:rsidR="00547E76">
        <w:rPr>
          <w:rFonts w:ascii="Times New Roman" w:hAnsi="Times New Roman" w:cs="Times New Roman"/>
          <w:b/>
          <w:sz w:val="24"/>
        </w:rPr>
        <w:t xml:space="preserve"> Treatmen</w:t>
      </w:r>
      <w:r w:rsidR="00F72930">
        <w:rPr>
          <w:rFonts w:ascii="Times New Roman" w:hAnsi="Times New Roman" w:cs="Times New Roman"/>
          <w:b/>
          <w:sz w:val="24"/>
        </w:rPr>
        <w:t>t Effect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28"/>
        <w:gridCol w:w="1956"/>
        <w:gridCol w:w="1260"/>
      </w:tblGrid>
      <w:tr w:rsidR="00547E76" w:rsidRPr="00547E76" w:rsidTr="00DB0ADE">
        <w:tc>
          <w:tcPr>
            <w:tcW w:w="4428" w:type="dxa"/>
            <w:tcBorders>
              <w:top w:val="single" w:sz="4" w:space="0" w:color="auto"/>
              <w:bottom w:val="single" w:sz="4" w:space="0" w:color="auto"/>
            </w:tcBorders>
          </w:tcPr>
          <w:p w:rsidR="00547E76" w:rsidRPr="00547E76" w:rsidRDefault="00547E76" w:rsidP="008D4509">
            <w:pPr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95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47E76" w:rsidRPr="00547E76" w:rsidRDefault="00547E76" w:rsidP="00547E76">
            <w:pPr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547E76">
              <w:rPr>
                <w:rFonts w:ascii="Times New Roman" w:hAnsi="Times New Roman" w:cs="Times New Roman"/>
                <w:b/>
                <w:sz w:val="20"/>
              </w:rPr>
              <w:t>Hazard Ratio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547E76" w:rsidRPr="00547E76" w:rsidRDefault="00547E76" w:rsidP="00547E76">
            <w:pPr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547E76">
              <w:rPr>
                <w:rFonts w:ascii="Times New Roman" w:hAnsi="Times New Roman" w:cs="Times New Roman"/>
                <w:b/>
                <w:sz w:val="20"/>
              </w:rPr>
              <w:t>P vale</w:t>
            </w:r>
          </w:p>
        </w:tc>
      </w:tr>
      <w:tr w:rsidR="00AA096E" w:rsidRPr="00547E76" w:rsidTr="00DB0ADE">
        <w:tc>
          <w:tcPr>
            <w:tcW w:w="4428" w:type="dxa"/>
            <w:tcBorders>
              <w:top w:val="single" w:sz="4" w:space="0" w:color="auto"/>
              <w:bottom w:val="nil"/>
            </w:tcBorders>
          </w:tcPr>
          <w:p w:rsidR="00AA096E" w:rsidRDefault="00AA096E" w:rsidP="00547E76">
            <w:pPr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Original hazard ratio</w:t>
            </w:r>
          </w:p>
        </w:tc>
        <w:tc>
          <w:tcPr>
            <w:tcW w:w="1956" w:type="dxa"/>
            <w:tcBorders>
              <w:top w:val="single" w:sz="4" w:space="0" w:color="auto"/>
              <w:bottom w:val="nil"/>
            </w:tcBorders>
            <w:vAlign w:val="bottom"/>
          </w:tcPr>
          <w:p w:rsidR="00AA096E" w:rsidRPr="00547E76" w:rsidRDefault="00AA096E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1E6C4F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0.70 (0.63, 0.77)</w:t>
            </w:r>
          </w:p>
        </w:tc>
        <w:tc>
          <w:tcPr>
            <w:tcW w:w="1260" w:type="dxa"/>
            <w:tcBorders>
              <w:top w:val="single" w:sz="4" w:space="0" w:color="auto"/>
              <w:bottom w:val="nil"/>
            </w:tcBorders>
            <w:vAlign w:val="bottom"/>
          </w:tcPr>
          <w:p w:rsidR="00AA096E" w:rsidRPr="00547E76" w:rsidRDefault="00AA096E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&lt;0.001</w:t>
            </w:r>
          </w:p>
        </w:tc>
      </w:tr>
      <w:tr w:rsidR="00547E76" w:rsidRPr="00547E76" w:rsidTr="00DB0ADE">
        <w:tc>
          <w:tcPr>
            <w:tcW w:w="4428" w:type="dxa"/>
            <w:tcBorders>
              <w:top w:val="nil"/>
            </w:tcBorders>
          </w:tcPr>
          <w:p w:rsidR="00547E76" w:rsidRPr="00547E76" w:rsidRDefault="00547E76" w:rsidP="00DB0ADE">
            <w:pPr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Crossover from</w:t>
            </w:r>
            <w:r w:rsidRPr="00547E76">
              <w:rPr>
                <w:rFonts w:ascii="Times New Roman" w:hAnsi="Times New Roman"/>
                <w:sz w:val="20"/>
                <w:szCs w:val="24"/>
              </w:rPr>
              <w:t xml:space="preserve"> </w:t>
            </w:r>
            <w:r w:rsidR="00DB0ADE">
              <w:rPr>
                <w:rFonts w:ascii="Times New Roman" w:hAnsi="Times New Roman"/>
                <w:sz w:val="20"/>
                <w:szCs w:val="24"/>
              </w:rPr>
              <w:t>medical therapy</w:t>
            </w:r>
            <w:r w:rsidRPr="00547E76">
              <w:rPr>
                <w:rFonts w:ascii="Times New Roman" w:hAnsi="Times New Roman"/>
                <w:sz w:val="20"/>
                <w:szCs w:val="24"/>
              </w:rPr>
              <w:t xml:space="preserve"> arm </w:t>
            </w:r>
            <w:r w:rsidR="00DB0ADE">
              <w:rPr>
                <w:rFonts w:ascii="Times New Roman" w:hAnsi="Times New Roman"/>
                <w:sz w:val="20"/>
                <w:szCs w:val="24"/>
              </w:rPr>
              <w:t>to</w:t>
            </w:r>
            <w:r w:rsidRPr="00547E76">
              <w:rPr>
                <w:rFonts w:ascii="Times New Roman" w:hAnsi="Times New Roman"/>
                <w:sz w:val="20"/>
                <w:szCs w:val="24"/>
              </w:rPr>
              <w:t xml:space="preserve"> ablation arm</w:t>
            </w:r>
          </w:p>
        </w:tc>
        <w:tc>
          <w:tcPr>
            <w:tcW w:w="1956" w:type="dxa"/>
            <w:tcBorders>
              <w:top w:val="nil"/>
            </w:tcBorders>
            <w:vAlign w:val="bottom"/>
          </w:tcPr>
          <w:p w:rsidR="00547E76" w:rsidRPr="00547E76" w:rsidRDefault="00547E76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0.80 (0.73, 0.88)</w:t>
            </w:r>
          </w:p>
        </w:tc>
        <w:tc>
          <w:tcPr>
            <w:tcW w:w="1260" w:type="dxa"/>
            <w:tcBorders>
              <w:top w:val="nil"/>
            </w:tcBorders>
            <w:vAlign w:val="bottom"/>
          </w:tcPr>
          <w:p w:rsidR="00547E76" w:rsidRPr="00547E76" w:rsidRDefault="00547E76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&lt;0.001</w:t>
            </w:r>
          </w:p>
        </w:tc>
      </w:tr>
      <w:tr w:rsidR="00547E76" w:rsidRPr="00547E76" w:rsidTr="00DB0ADE">
        <w:tc>
          <w:tcPr>
            <w:tcW w:w="4428" w:type="dxa"/>
          </w:tcPr>
          <w:p w:rsidR="00547E76" w:rsidRPr="00547E76" w:rsidRDefault="00547E76" w:rsidP="00DB0ADE">
            <w:pPr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Cr</w:t>
            </w:r>
            <w:r>
              <w:rPr>
                <w:rFonts w:ascii="Times New Roman" w:hAnsi="Times New Roman" w:cs="Times New Roman"/>
                <w:sz w:val="20"/>
              </w:rPr>
              <w:t xml:space="preserve">ossover from ablation arm to </w:t>
            </w:r>
            <w:r w:rsidR="00DB0ADE">
              <w:rPr>
                <w:rFonts w:ascii="Times New Roman" w:hAnsi="Times New Roman" w:cs="Times New Roman"/>
                <w:sz w:val="20"/>
              </w:rPr>
              <w:t>medical therapy arm</w:t>
            </w:r>
          </w:p>
        </w:tc>
        <w:tc>
          <w:tcPr>
            <w:tcW w:w="1956" w:type="dxa"/>
            <w:vAlign w:val="bottom"/>
          </w:tcPr>
          <w:p w:rsidR="00547E76" w:rsidRPr="00547E76" w:rsidRDefault="00547E76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0.77 (0.71, 0.84)</w:t>
            </w:r>
          </w:p>
        </w:tc>
        <w:tc>
          <w:tcPr>
            <w:tcW w:w="1260" w:type="dxa"/>
            <w:vAlign w:val="bottom"/>
          </w:tcPr>
          <w:p w:rsidR="00547E76" w:rsidRPr="00547E76" w:rsidRDefault="002D5EAB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&lt;0.001</w:t>
            </w:r>
          </w:p>
        </w:tc>
      </w:tr>
      <w:tr w:rsidR="00547E76" w:rsidRPr="00547E76" w:rsidTr="00DB0ADE">
        <w:tc>
          <w:tcPr>
            <w:tcW w:w="4428" w:type="dxa"/>
          </w:tcPr>
          <w:p w:rsidR="00547E76" w:rsidRPr="00547E76" w:rsidRDefault="00547E76" w:rsidP="008D4509">
            <w:pPr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 xml:space="preserve">Both scenarios happening </w:t>
            </w:r>
            <w:r w:rsidR="00F72930">
              <w:rPr>
                <w:rFonts w:ascii="Times New Roman" w:hAnsi="Times New Roman" w:cs="Times New Roman"/>
                <w:sz w:val="20"/>
              </w:rPr>
              <w:t xml:space="preserve">at </w:t>
            </w:r>
            <w:r w:rsidRPr="00547E76">
              <w:rPr>
                <w:rFonts w:ascii="Times New Roman" w:hAnsi="Times New Roman" w:cs="Times New Roman"/>
                <w:sz w:val="20"/>
              </w:rPr>
              <w:t>the same time</w:t>
            </w:r>
          </w:p>
        </w:tc>
        <w:tc>
          <w:tcPr>
            <w:tcW w:w="1956" w:type="dxa"/>
            <w:vAlign w:val="bottom"/>
          </w:tcPr>
          <w:p w:rsidR="00547E76" w:rsidRPr="00547E76" w:rsidRDefault="00547E76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0.85 (0.79, 0.92)</w:t>
            </w:r>
          </w:p>
        </w:tc>
        <w:tc>
          <w:tcPr>
            <w:tcW w:w="1260" w:type="dxa"/>
            <w:vAlign w:val="bottom"/>
          </w:tcPr>
          <w:p w:rsidR="00547E76" w:rsidRPr="00547E76" w:rsidRDefault="002D5EAB" w:rsidP="00AA096E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547E76">
              <w:rPr>
                <w:rFonts w:ascii="Times New Roman" w:hAnsi="Times New Roman" w:cs="Times New Roman"/>
                <w:sz w:val="20"/>
              </w:rPr>
              <w:t>&lt;0.001</w:t>
            </w:r>
          </w:p>
        </w:tc>
      </w:tr>
    </w:tbl>
    <w:p w:rsidR="00AA096E" w:rsidRDefault="00AA096E" w:rsidP="00AA096E">
      <w:pPr>
        <w:spacing w:line="240" w:lineRule="auto"/>
        <w:rPr>
          <w:rFonts w:ascii="Times New Roman" w:hAnsi="Times New Roman"/>
          <w:sz w:val="20"/>
          <w:szCs w:val="24"/>
          <w:lang w:eastAsia="zh-CN"/>
        </w:rPr>
      </w:pPr>
    </w:p>
    <w:p w:rsidR="008D4509" w:rsidRDefault="008D4509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016D34" w:rsidRPr="005E2C11" w:rsidRDefault="0097677A" w:rsidP="00016D34">
      <w:pPr>
        <w:rPr>
          <w:rFonts w:ascii="Times New Roman" w:hAnsi="Times New Roman" w:cs="Times New Roman"/>
          <w:b/>
          <w:sz w:val="24"/>
        </w:rPr>
      </w:pPr>
      <w:r w:rsidRPr="005E2C11">
        <w:rPr>
          <w:rFonts w:ascii="Times New Roman" w:hAnsi="Times New Roman" w:cs="Times New Roman"/>
          <w:b/>
          <w:sz w:val="24"/>
        </w:rPr>
        <w:lastRenderedPageBreak/>
        <w:t>Table</w:t>
      </w:r>
      <w:r w:rsidR="00512D22" w:rsidRPr="005E2C11">
        <w:rPr>
          <w:rFonts w:ascii="Times New Roman" w:hAnsi="Times New Roman" w:cs="Times New Roman"/>
          <w:b/>
          <w:sz w:val="24"/>
        </w:rPr>
        <w:t xml:space="preserve"> </w:t>
      </w:r>
      <w:r w:rsidR="00C06495">
        <w:rPr>
          <w:rFonts w:ascii="Times New Roman" w:hAnsi="Times New Roman" w:cs="Times New Roman"/>
          <w:b/>
          <w:sz w:val="24"/>
        </w:rPr>
        <w:t>S</w:t>
      </w:r>
      <w:r w:rsidR="00444F8F" w:rsidRPr="005E2C11">
        <w:rPr>
          <w:rFonts w:ascii="Times New Roman" w:hAnsi="Times New Roman" w:cs="Times New Roman"/>
          <w:b/>
          <w:sz w:val="24"/>
        </w:rPr>
        <w:t>1</w:t>
      </w:r>
      <w:r w:rsidR="008D4509">
        <w:rPr>
          <w:rFonts w:ascii="Times New Roman" w:hAnsi="Times New Roman" w:cs="Times New Roman"/>
          <w:b/>
          <w:sz w:val="24"/>
        </w:rPr>
        <w:t>2</w:t>
      </w:r>
      <w:r w:rsidR="00016D34" w:rsidRPr="005E2C11">
        <w:rPr>
          <w:rFonts w:ascii="Times New Roman" w:hAnsi="Times New Roman" w:cs="Times New Roman"/>
          <w:b/>
          <w:sz w:val="24"/>
        </w:rPr>
        <w:t>. Falsification Endpoint Test in Propensity Score Weighted Cohort</w:t>
      </w:r>
    </w:p>
    <w:tbl>
      <w:tblPr>
        <w:tblW w:w="7038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790"/>
        <w:gridCol w:w="2685"/>
        <w:gridCol w:w="1563"/>
      </w:tblGrid>
      <w:tr w:rsidR="00016D34" w:rsidRPr="005E2C11" w:rsidTr="00F27603">
        <w:trPr>
          <w:trHeight w:val="302"/>
        </w:trPr>
        <w:tc>
          <w:tcPr>
            <w:tcW w:w="27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Hazard Ratio</w:t>
            </w: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p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COPD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Overall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0.85 (0.70, 1.03)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0.10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Eligible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0.90 (0.70, 1.14)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0.38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Failed Inclusion Criterion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---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Met Exclusion Criteria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0.80 (0.58, 1.09)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0.15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Pneumonia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Overall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0.97 (0.86, 1.08)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0.55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Eligible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1.01 (0.87, 1.16)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0.93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Failed Inclusion Criterion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0.70 (0.23, 2.17)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0.54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Met Exclusion Criteria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0.91 (0.75, 1.10)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0.33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b/>
                <w:color w:val="000000"/>
                <w:sz w:val="20"/>
                <w:szCs w:val="20"/>
              </w:rPr>
              <w:t>Fracture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Overall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0.93 (0.83, 1.05)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0.24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Eligible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0.94 (0.81, 1.08)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0.37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Failed Inclusion Criterion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0.76 (0.35, 1.63)</w:t>
            </w:r>
          </w:p>
        </w:tc>
        <w:tc>
          <w:tcPr>
            <w:tcW w:w="15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0.48</w:t>
            </w:r>
          </w:p>
        </w:tc>
      </w:tr>
      <w:tr w:rsidR="00016D34" w:rsidRPr="005E2C11" w:rsidTr="00F27603">
        <w:trPr>
          <w:trHeight w:val="302"/>
        </w:trPr>
        <w:tc>
          <w:tcPr>
            <w:tcW w:w="279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:rsidR="00016D34" w:rsidRPr="005E2C11" w:rsidRDefault="00016D34" w:rsidP="00F27603">
            <w:pPr>
              <w:spacing w:after="0" w:line="240" w:lineRule="auto"/>
              <w:ind w:left="162"/>
              <w:rPr>
                <w:rFonts w:ascii="Times New Roman" w:eastAsia="SimSun" w:hAnsi="Times New Roman" w:cs="Times New Roman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sz w:val="20"/>
                <w:szCs w:val="20"/>
              </w:rPr>
              <w:t>Met Exclusion Criteria</w:t>
            </w:r>
          </w:p>
        </w:tc>
        <w:tc>
          <w:tcPr>
            <w:tcW w:w="26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0.94 (0.76, 1.16)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16D34" w:rsidRPr="005E2C11" w:rsidRDefault="00016D34" w:rsidP="00F27603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</w:pPr>
            <w:r w:rsidRPr="005E2C11">
              <w:rPr>
                <w:rFonts w:ascii="Times New Roman" w:eastAsia="SimSun" w:hAnsi="Times New Roman" w:cs="Times New Roman"/>
                <w:color w:val="000000"/>
                <w:sz w:val="20"/>
                <w:szCs w:val="20"/>
              </w:rPr>
              <w:t>0.54</w:t>
            </w:r>
          </w:p>
        </w:tc>
      </w:tr>
    </w:tbl>
    <w:p w:rsidR="00E51145" w:rsidRPr="006D6081" w:rsidRDefault="00016D34" w:rsidP="00DA6BBC">
      <w:pPr>
        <w:spacing w:line="240" w:lineRule="auto"/>
        <w:rPr>
          <w:rFonts w:ascii="Times New Roman" w:hAnsi="Times New Roman" w:cs="Times New Roman"/>
          <w:sz w:val="20"/>
        </w:rPr>
      </w:pPr>
      <w:r w:rsidRPr="006D6081">
        <w:rPr>
          <w:rFonts w:ascii="Times New Roman" w:hAnsi="Times New Roman" w:cs="Times New Roman"/>
          <w:sz w:val="20"/>
        </w:rPr>
        <w:t>There were no COPD event</w:t>
      </w:r>
      <w:r w:rsidR="003A6A62" w:rsidRPr="006D6081">
        <w:rPr>
          <w:rFonts w:ascii="Times New Roman" w:hAnsi="Times New Roman" w:cs="Times New Roman"/>
          <w:sz w:val="20"/>
        </w:rPr>
        <w:t>s</w:t>
      </w:r>
      <w:r w:rsidRPr="006D6081">
        <w:rPr>
          <w:rFonts w:ascii="Times New Roman" w:hAnsi="Times New Roman" w:cs="Times New Roman"/>
          <w:sz w:val="20"/>
        </w:rPr>
        <w:t xml:space="preserve"> in patients treated with ablation who failed to meet the inclusion criteria. Outcomes were captured by primary diagnosis during an emergency room visit or an inpatient stay. </w:t>
      </w:r>
    </w:p>
    <w:p w:rsidR="00D65543" w:rsidRDefault="00D6554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C8039E" w:rsidRDefault="009E7143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Figure S1. Patients Selection Flow Diagram</w:t>
      </w:r>
    </w:p>
    <w:p w:rsidR="00B76EF0" w:rsidRDefault="00B76EF0">
      <w:pPr>
        <w:rPr>
          <w:rFonts w:ascii="Times New Roman" w:hAnsi="Times New Roman" w:cs="Times New Roman"/>
          <w:b/>
          <w:sz w:val="24"/>
        </w:rPr>
      </w:pPr>
      <w:r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B2E019C" wp14:editId="4F007E7C">
                <wp:simplePos x="0" y="0"/>
                <wp:positionH relativeFrom="column">
                  <wp:posOffset>20985</wp:posOffset>
                </wp:positionH>
                <wp:positionV relativeFrom="paragraph">
                  <wp:posOffset>11799</wp:posOffset>
                </wp:positionV>
                <wp:extent cx="5039788" cy="914400"/>
                <wp:effectExtent l="0" t="0" r="27940" b="190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788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Pr="00530D40" w:rsidRDefault="006A1F3B" w:rsidP="00B76EF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530D4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Patients with </w:t>
                            </w:r>
                            <w:r w:rsidR="006D60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atrial fibrillation</w:t>
                            </w:r>
                            <w:r w:rsidRPr="00530D4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between 8/1/2009 and 4/30/2016</w:t>
                            </w:r>
                          </w:p>
                          <w:p w:rsidR="006A1F3B" w:rsidRPr="00530D40" w:rsidRDefault="006A1F3B" w:rsidP="00B76EF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530D4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N=496,760</w:t>
                            </w:r>
                          </w:p>
                          <w:p w:rsidR="006A1F3B" w:rsidRPr="00FE60AA" w:rsidRDefault="006A1F3B" w:rsidP="00530D4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(Patients were required to have </w:t>
                            </w:r>
                            <w:r w:rsidR="006D608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atrial fibrillation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diagnosis on at least two different days, and one must be between 8/1/2009 and 4/30/2016)</w:t>
                            </w:r>
                          </w:p>
                          <w:p w:rsidR="006A1F3B" w:rsidRPr="00FE60AA" w:rsidRDefault="006A1F3B" w:rsidP="00B76EF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65pt;margin-top:.95pt;width:396.85pt;height:1in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">
                <v:textbox>
                  <w:txbxContent>
                    <w:p w:rsidR="006A1F3B" w:rsidRPr="00530D40" w:rsidRDefault="006A1F3B" w:rsidP="00B76EF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530D4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Patients with </w:t>
                      </w:r>
                      <w:r w:rsidR="006D60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atrial fibrillation</w:t>
                      </w:r>
                      <w:r w:rsidRPr="00530D4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between 8/1/2009 and 4/30/2016</w:t>
                      </w:r>
                    </w:p>
                    <w:p w:rsidR="006A1F3B" w:rsidRPr="00530D40" w:rsidRDefault="006A1F3B" w:rsidP="00B76EF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530D4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N=496,760</w:t>
                      </w:r>
                    </w:p>
                    <w:p w:rsidR="006A1F3B" w:rsidRPr="00FE60AA" w:rsidRDefault="006A1F3B" w:rsidP="00530D40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(Patients were required to have </w:t>
                      </w:r>
                      <w:r w:rsidR="006D608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atrial fibrillation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diagnosis on at least two different days, and one must be between 8/1/2009 and 4/30/2016)</w:t>
                      </w:r>
                    </w:p>
                    <w:p w:rsidR="006A1F3B" w:rsidRPr="00FE60AA" w:rsidRDefault="006A1F3B" w:rsidP="00B76EF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76EF0" w:rsidRDefault="00B76EF0">
      <w:pPr>
        <w:rPr>
          <w:rFonts w:ascii="Times New Roman" w:hAnsi="Times New Roman" w:cs="Times New Roman"/>
          <w:b/>
          <w:sz w:val="24"/>
        </w:rPr>
      </w:pPr>
    </w:p>
    <w:p w:rsidR="00B76EF0" w:rsidRDefault="00044A61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1013974" wp14:editId="07061240">
                <wp:simplePos x="0" y="0"/>
                <wp:positionH relativeFrom="column">
                  <wp:posOffset>1370419</wp:posOffset>
                </wp:positionH>
                <wp:positionV relativeFrom="paragraph">
                  <wp:posOffset>320040</wp:posOffset>
                </wp:positionV>
                <wp:extent cx="0" cy="457200"/>
                <wp:effectExtent l="95250" t="0" r="57150" b="5715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7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left:0;text-align:left;margin-left:107.9pt;margin-top:25.2pt;width:0;height:3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" strokecolor="black [3040]">
                <v:stroke endarrow="open"/>
              </v:shape>
            </w:pict>
          </mc:Fallback>
        </mc:AlternateContent>
      </w:r>
    </w:p>
    <w:p w:rsidR="00FE60AA" w:rsidRDefault="009C5BB6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EF6E570" wp14:editId="30CCB867">
                <wp:simplePos x="0" y="0"/>
                <wp:positionH relativeFrom="column">
                  <wp:posOffset>1371600</wp:posOffset>
                </wp:positionH>
                <wp:positionV relativeFrom="paragraph">
                  <wp:posOffset>217170</wp:posOffset>
                </wp:positionV>
                <wp:extent cx="1530350" cy="0"/>
                <wp:effectExtent l="0" t="76200" r="12700" b="11430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3035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2" o:spid="_x0000_s1026" type="#_x0000_t32" style="position:absolute;left:0;text-align:left;margin-left:108pt;margin-top:17.1pt;width:120.5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" strokecolor="black [3040]">
                <v:stroke endarrow="open"/>
              </v:shape>
            </w:pict>
          </mc:Fallback>
        </mc:AlternateContent>
      </w:r>
      <w:r w:rsidR="00044A61"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CB2288" wp14:editId="63F89073">
                <wp:simplePos x="0" y="0"/>
                <wp:positionH relativeFrom="column">
                  <wp:posOffset>2902585</wp:posOffset>
                </wp:positionH>
                <wp:positionV relativeFrom="paragraph">
                  <wp:posOffset>78740</wp:posOffset>
                </wp:positionV>
                <wp:extent cx="2930525" cy="488950"/>
                <wp:effectExtent l="0" t="0" r="22225" b="2540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052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5E065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Patients who did not receive any treatment</w:t>
                            </w:r>
                          </w:p>
                          <w:p w:rsidR="006A1F3B" w:rsidRPr="00FE60AA" w:rsidRDefault="006A1F3B" w:rsidP="005E065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N=61,099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28.55pt;margin-top:6.2pt;width:230.75pt;height:3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">
                <v:textbox>
                  <w:txbxContent>
                    <w:p w:rsidR="006A1F3B" w:rsidRDefault="006A1F3B" w:rsidP="005E065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Patients who did not receive any treatment</w:t>
                      </w:r>
                    </w:p>
                    <w:p w:rsidR="006A1F3B" w:rsidRPr="00FE60AA" w:rsidRDefault="006A1F3B" w:rsidP="005E065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N=61,099</w:t>
                      </w:r>
                    </w:p>
                  </w:txbxContent>
                </v:textbox>
              </v:shape>
            </w:pict>
          </mc:Fallback>
        </mc:AlternateContent>
      </w:r>
    </w:p>
    <w:p w:rsidR="00FE60AA" w:rsidRDefault="00044A61">
      <w:pPr>
        <w:rPr>
          <w:rFonts w:ascii="Times New Roman" w:hAnsi="Times New Roman" w:cs="Times New Roman"/>
          <w:b/>
          <w:sz w:val="24"/>
        </w:rPr>
      </w:pPr>
      <w:r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CA6BD6" wp14:editId="5D97C556">
                <wp:simplePos x="0" y="0"/>
                <wp:positionH relativeFrom="column">
                  <wp:posOffset>21265</wp:posOffset>
                </wp:positionH>
                <wp:positionV relativeFrom="paragraph">
                  <wp:posOffset>143525</wp:posOffset>
                </wp:positionV>
                <wp:extent cx="2658140" cy="690880"/>
                <wp:effectExtent l="0" t="0" r="27940" b="1397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40" cy="690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5E065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Patients who received ablation or medical therapy</w:t>
                            </w:r>
                          </w:p>
                          <w:p w:rsidR="006A1F3B" w:rsidRPr="00FE60AA" w:rsidRDefault="006A1F3B" w:rsidP="005E065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N=435,661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.65pt;margin-top:11.3pt;width:209.3pt;height:54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">
                <v:textbox>
                  <w:txbxContent>
                    <w:p w:rsidR="006A1F3B" w:rsidRDefault="006A1F3B" w:rsidP="005E065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Patients who received ablation or medical therapy</w:t>
                      </w:r>
                    </w:p>
                    <w:p w:rsidR="006A1F3B" w:rsidRPr="00FE60AA" w:rsidRDefault="006A1F3B" w:rsidP="005E065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N=435,661</w:t>
                      </w:r>
                    </w:p>
                  </w:txbxContent>
                </v:textbox>
              </v:shape>
            </w:pict>
          </mc:Fallback>
        </mc:AlternateContent>
      </w:r>
    </w:p>
    <w:p w:rsidR="00FE60AA" w:rsidRDefault="00FE60AA">
      <w:pPr>
        <w:rPr>
          <w:rFonts w:ascii="Times New Roman" w:hAnsi="Times New Roman" w:cs="Times New Roman"/>
          <w:b/>
          <w:sz w:val="24"/>
        </w:rPr>
      </w:pPr>
    </w:p>
    <w:p w:rsidR="00FE60AA" w:rsidRDefault="009C5BB6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27A50DB" wp14:editId="497CA884">
                <wp:simplePos x="0" y="0"/>
                <wp:positionH relativeFrom="column">
                  <wp:posOffset>1393190</wp:posOffset>
                </wp:positionH>
                <wp:positionV relativeFrom="paragraph">
                  <wp:posOffset>249555</wp:posOffset>
                </wp:positionV>
                <wp:extent cx="0" cy="457200"/>
                <wp:effectExtent l="95250" t="0" r="57150" b="57150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7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9" o:spid="_x0000_s1026" type="#_x0000_t32" style="position:absolute;left:0;text-align:left;margin-left:109.7pt;margin-top:19.65pt;width:0;height:3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" strokecolor="black [3040]">
                <v:stroke endarrow="open"/>
              </v:shape>
            </w:pict>
          </mc:Fallback>
        </mc:AlternateContent>
      </w:r>
      <w:r w:rsidR="00044A61"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E59AA51" wp14:editId="60E7C183">
                <wp:simplePos x="0" y="0"/>
                <wp:positionH relativeFrom="column">
                  <wp:posOffset>2880995</wp:posOffset>
                </wp:positionH>
                <wp:positionV relativeFrom="paragraph">
                  <wp:posOffset>254635</wp:posOffset>
                </wp:positionV>
                <wp:extent cx="2930525" cy="488950"/>
                <wp:effectExtent l="0" t="0" r="22225" b="2540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0525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044A6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Patients without 12 months of enrollment</w:t>
                            </w:r>
                          </w:p>
                          <w:p w:rsidR="006A1F3B" w:rsidRPr="00FE60AA" w:rsidRDefault="006A1F3B" w:rsidP="00044A6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</w:t>
                            </w:r>
                            <w:r w:rsidRPr="00044A6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246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,</w:t>
                            </w:r>
                            <w:r w:rsidRPr="00044A6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889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29" type="#_x0000_t202" style="position:absolute;margin-left:226.85pt;margin-top:20.05pt;width:230.75pt;height:38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">
                <v:textbox>
                  <w:txbxContent>
                    <w:p w:rsidR="006A1F3B" w:rsidRDefault="006A1F3B" w:rsidP="00044A6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Patients without 12 months of enrollment</w:t>
                      </w:r>
                    </w:p>
                    <w:p w:rsidR="006A1F3B" w:rsidRPr="00FE60AA" w:rsidRDefault="006A1F3B" w:rsidP="00044A6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</w:t>
                      </w:r>
                      <w:r w:rsidRPr="00044A6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246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,</w:t>
                      </w:r>
                      <w:r w:rsidRPr="00044A6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889</w:t>
                      </w:r>
                    </w:p>
                  </w:txbxContent>
                </v:textbox>
              </v:shape>
            </w:pict>
          </mc:Fallback>
        </mc:AlternateContent>
      </w:r>
    </w:p>
    <w:p w:rsidR="00FE60AA" w:rsidRDefault="00044A61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5F7A17F" wp14:editId="77FB55FB">
                <wp:simplePos x="0" y="0"/>
                <wp:positionH relativeFrom="column">
                  <wp:posOffset>1392865</wp:posOffset>
                </wp:positionH>
                <wp:positionV relativeFrom="paragraph">
                  <wp:posOffset>157465</wp:posOffset>
                </wp:positionV>
                <wp:extent cx="1455967" cy="0"/>
                <wp:effectExtent l="0" t="76200" r="11430" b="11430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5967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0" o:spid="_x0000_s1026" type="#_x0000_t32" style="position:absolute;left:0;text-align:left;margin-left:109.65pt;margin-top:12.4pt;width:114.65pt;height: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" strokecolor="black [3040]">
                <v:stroke endarrow="open"/>
              </v:shape>
            </w:pict>
          </mc:Fallback>
        </mc:AlternateContent>
      </w:r>
    </w:p>
    <w:p w:rsidR="00FE60AA" w:rsidRDefault="00044A61">
      <w:pPr>
        <w:rPr>
          <w:rFonts w:ascii="Times New Roman" w:hAnsi="Times New Roman" w:cs="Times New Roman"/>
          <w:b/>
          <w:sz w:val="24"/>
        </w:rPr>
      </w:pPr>
      <w:r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01E7E04" wp14:editId="2CD50E49">
                <wp:simplePos x="0" y="0"/>
                <wp:positionH relativeFrom="column">
                  <wp:posOffset>94615</wp:posOffset>
                </wp:positionH>
                <wp:positionV relativeFrom="paragraph">
                  <wp:posOffset>118006</wp:posOffset>
                </wp:positionV>
                <wp:extent cx="2593975" cy="1403985"/>
                <wp:effectExtent l="0" t="0" r="15875" b="15875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39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7A5A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Patients with at least 12 months of continuous enrollment before index date (i.e., first ablation date or index medication date)</w:t>
                            </w:r>
                          </w:p>
                          <w:p w:rsidR="006A1F3B" w:rsidRPr="00FE60AA" w:rsidRDefault="006A1F3B" w:rsidP="007A5A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N=188,772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margin-left:7.45pt;margin-top:9.3pt;width:204.25pt;height:110.5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">
                <v:textbox style="mso-fit-shape-to-text:t">
                  <w:txbxContent>
                    <w:p w:rsidR="006A1F3B" w:rsidRDefault="006A1F3B" w:rsidP="007A5A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Patients with at least 12 months of continuous enrollment before index date (i.e., first ablation date or index medication date)</w:t>
                      </w:r>
                    </w:p>
                    <w:p w:rsidR="006A1F3B" w:rsidRPr="00FE60AA" w:rsidRDefault="006A1F3B" w:rsidP="007A5A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N=188,772</w:t>
                      </w:r>
                    </w:p>
                  </w:txbxContent>
                </v:textbox>
              </v:shape>
            </w:pict>
          </mc:Fallback>
        </mc:AlternateContent>
      </w:r>
    </w:p>
    <w:p w:rsidR="00FE60AA" w:rsidRDefault="009C5BB6">
      <w:pPr>
        <w:rPr>
          <w:rFonts w:ascii="Times New Roman" w:hAnsi="Times New Roman" w:cs="Times New Roman"/>
          <w:b/>
          <w:sz w:val="24"/>
        </w:rPr>
      </w:pPr>
      <w:r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491CE28" wp14:editId="689E88E7">
                <wp:simplePos x="0" y="0"/>
                <wp:positionH relativeFrom="column">
                  <wp:posOffset>2887980</wp:posOffset>
                </wp:positionH>
                <wp:positionV relativeFrom="paragraph">
                  <wp:posOffset>307340</wp:posOffset>
                </wp:positionV>
                <wp:extent cx="2945130" cy="1222375"/>
                <wp:effectExtent l="0" t="0" r="26670" b="15875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5130" cy="1222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CB6C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Exclusions</w:t>
                            </w:r>
                          </w:p>
                          <w:p w:rsidR="006A1F3B" w:rsidRPr="00044A61" w:rsidRDefault="006A1F3B" w:rsidP="00044A61">
                            <w:pPr>
                              <w:pStyle w:val="ac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180"/>
                              </w:tabs>
                              <w:spacing w:after="0"/>
                              <w:ind w:left="180" w:hanging="1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44A6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Patients whose first ablation was not between 8/1/2009 and 4/30/2016: N=4,894</w:t>
                            </w:r>
                          </w:p>
                          <w:p w:rsidR="006A1F3B" w:rsidRPr="00044A61" w:rsidRDefault="006A1F3B" w:rsidP="00044A61">
                            <w:pPr>
                              <w:pStyle w:val="ac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180"/>
                              </w:tabs>
                              <w:spacing w:after="0"/>
                              <w:ind w:left="180" w:hanging="18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44A6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Invalid demographic or residence data: N=118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27.4pt;margin-top:24.2pt;width:231.9pt;height:96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">
                <v:textbox>
                  <w:txbxContent>
                    <w:p w:rsidR="006A1F3B" w:rsidRDefault="006A1F3B" w:rsidP="00CB6C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Exclusions</w:t>
                      </w:r>
                    </w:p>
                    <w:p w:rsidR="006A1F3B" w:rsidRPr="00044A61" w:rsidRDefault="006A1F3B" w:rsidP="00044A61">
                      <w:pPr>
                        <w:pStyle w:val="ac"/>
                        <w:numPr>
                          <w:ilvl w:val="0"/>
                          <w:numId w:val="1"/>
                        </w:numPr>
                        <w:tabs>
                          <w:tab w:val="left" w:pos="180"/>
                        </w:tabs>
                        <w:spacing w:after="0"/>
                        <w:ind w:left="180" w:hanging="1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44A6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Patients whose first ablation was not between 8/1/2009 and 4/30/2016: N=4,894</w:t>
                      </w:r>
                    </w:p>
                    <w:p w:rsidR="006A1F3B" w:rsidRPr="00044A61" w:rsidRDefault="006A1F3B" w:rsidP="00044A61">
                      <w:pPr>
                        <w:pStyle w:val="ac"/>
                        <w:numPr>
                          <w:ilvl w:val="0"/>
                          <w:numId w:val="1"/>
                        </w:numPr>
                        <w:tabs>
                          <w:tab w:val="left" w:pos="180"/>
                        </w:tabs>
                        <w:spacing w:after="0"/>
                        <w:ind w:left="180" w:hanging="18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44A6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Invalid demographic or residence data: N=118</w:t>
                      </w:r>
                    </w:p>
                  </w:txbxContent>
                </v:textbox>
              </v:shape>
            </w:pict>
          </mc:Fallback>
        </mc:AlternateContent>
      </w:r>
    </w:p>
    <w:p w:rsidR="00FE60AA" w:rsidRDefault="00044A61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4F704D9" wp14:editId="3381C722">
                <wp:simplePos x="0" y="0"/>
                <wp:positionH relativeFrom="column">
                  <wp:posOffset>5456555</wp:posOffset>
                </wp:positionH>
                <wp:positionV relativeFrom="paragraph">
                  <wp:posOffset>156210</wp:posOffset>
                </wp:positionV>
                <wp:extent cx="0" cy="294005"/>
                <wp:effectExtent l="95250" t="0" r="76200" b="48895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400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" o:spid="_x0000_s1026" type="#_x0000_t32" style="position:absolute;left:0;text-align:left;margin-left:429.65pt;margin-top:12.3pt;width:0;height:23.1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" strokecolor="black [3040]">
                <v:stroke endarrow="open"/>
              </v:shape>
            </w:pict>
          </mc:Fallback>
        </mc:AlternateContent>
      </w:r>
    </w:p>
    <w:p w:rsidR="00FE60AA" w:rsidRDefault="009C5BB6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4C13613" wp14:editId="53443EC2">
                <wp:simplePos x="0" y="0"/>
                <wp:positionH relativeFrom="column">
                  <wp:posOffset>1396601</wp:posOffset>
                </wp:positionH>
                <wp:positionV relativeFrom="paragraph">
                  <wp:posOffset>314458</wp:posOffset>
                </wp:positionV>
                <wp:extent cx="0" cy="457200"/>
                <wp:effectExtent l="95250" t="0" r="57150" b="57150"/>
                <wp:wrapNone/>
                <wp:docPr id="27" name="Straight Arrow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7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7" o:spid="_x0000_s1026" type="#_x0000_t32" style="position:absolute;left:0;text-align:left;margin-left:109.95pt;margin-top:24.75pt;width:0;height:3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" strokecolor="black [3040]">
                <v:stroke endarrow="open"/>
              </v:shape>
            </w:pict>
          </mc:Fallback>
        </mc:AlternateContent>
      </w:r>
    </w:p>
    <w:p w:rsidR="00FE60AA" w:rsidRDefault="009C5BB6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C2879BB" wp14:editId="37D2F24C">
                <wp:simplePos x="0" y="0"/>
                <wp:positionH relativeFrom="column">
                  <wp:posOffset>1392865</wp:posOffset>
                </wp:positionH>
                <wp:positionV relativeFrom="paragraph">
                  <wp:posOffset>152134</wp:posOffset>
                </wp:positionV>
                <wp:extent cx="1487864" cy="0"/>
                <wp:effectExtent l="0" t="76200" r="17145" b="11430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87864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3" o:spid="_x0000_s1026" type="#_x0000_t32" style="position:absolute;left:0;text-align:left;margin-left:109.65pt;margin-top:12pt;width:117.15pt;height:0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" strokecolor="black [3040]">
                <v:stroke endarrow="open"/>
              </v:shape>
            </w:pict>
          </mc:Fallback>
        </mc:AlternateContent>
      </w:r>
    </w:p>
    <w:p w:rsidR="00FE60AA" w:rsidRDefault="009C5BB6">
      <w:pPr>
        <w:rPr>
          <w:rFonts w:ascii="Times New Roman" w:hAnsi="Times New Roman" w:cs="Times New Roman"/>
          <w:b/>
          <w:sz w:val="24"/>
        </w:rPr>
      </w:pPr>
      <w:r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2A60EB9" wp14:editId="278FA321">
                <wp:simplePos x="0" y="0"/>
                <wp:positionH relativeFrom="column">
                  <wp:posOffset>190500</wp:posOffset>
                </wp:positionH>
                <wp:positionV relativeFrom="paragraph">
                  <wp:posOffset>201930</wp:posOffset>
                </wp:positionV>
                <wp:extent cx="2423795" cy="1403985"/>
                <wp:effectExtent l="0" t="0" r="14605" b="1079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379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CB6C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Overall Study Population</w:t>
                            </w:r>
                          </w:p>
                          <w:p w:rsidR="006A1F3B" w:rsidRPr="00FE60AA" w:rsidRDefault="006A1F3B" w:rsidP="00CB6C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</w:t>
                            </w:r>
                            <w:r w:rsidRPr="00CB6CB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183,760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15pt;margin-top:15.9pt;width:190.85pt;height:110.55pt;z-index:251672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">
                <v:textbox style="mso-fit-shape-to-text:t">
                  <w:txbxContent>
                    <w:p w:rsidR="006A1F3B" w:rsidRDefault="006A1F3B" w:rsidP="00CB6C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Overall Study Population</w:t>
                      </w:r>
                    </w:p>
                    <w:p w:rsidR="006A1F3B" w:rsidRPr="00FE60AA" w:rsidRDefault="006A1F3B" w:rsidP="00CB6C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</w:t>
                      </w:r>
                      <w:r w:rsidRPr="00CB6CB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183,760</w:t>
                      </w:r>
                    </w:p>
                  </w:txbxContent>
                </v:textbox>
              </v:shape>
            </w:pict>
          </mc:Fallback>
        </mc:AlternateContent>
      </w:r>
    </w:p>
    <w:p w:rsidR="00FE60AA" w:rsidRDefault="00FE60AA">
      <w:pPr>
        <w:rPr>
          <w:rFonts w:ascii="Times New Roman" w:hAnsi="Times New Roman" w:cs="Times New Roman"/>
          <w:b/>
          <w:sz w:val="24"/>
        </w:rPr>
      </w:pPr>
    </w:p>
    <w:p w:rsidR="00CB6CBE" w:rsidRDefault="009C5BB6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C71ED3F" wp14:editId="49A775EF">
                <wp:simplePos x="0" y="0"/>
                <wp:positionH relativeFrom="column">
                  <wp:posOffset>1395730</wp:posOffset>
                </wp:positionH>
                <wp:positionV relativeFrom="paragraph">
                  <wp:posOffset>179543</wp:posOffset>
                </wp:positionV>
                <wp:extent cx="0" cy="457200"/>
                <wp:effectExtent l="95250" t="0" r="57150" b="5715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57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left:0;text-align:left;margin-left:109.9pt;margin-top:14.15pt;width:0;height:3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" strokecolor="black [3040]">
                <v:stroke endarrow="open"/>
              </v:shape>
            </w:pict>
          </mc:Fallback>
        </mc:AlternateContent>
      </w:r>
    </w:p>
    <w:p w:rsidR="00CB6CBE" w:rsidRDefault="009C5BB6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86428D1" wp14:editId="757EAF57">
                <wp:simplePos x="0" y="0"/>
                <wp:positionH relativeFrom="column">
                  <wp:posOffset>4337685</wp:posOffset>
                </wp:positionH>
                <wp:positionV relativeFrom="paragraph">
                  <wp:posOffset>35398</wp:posOffset>
                </wp:positionV>
                <wp:extent cx="0" cy="274320"/>
                <wp:effectExtent l="95250" t="0" r="76200" b="49530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432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9" o:spid="_x0000_s1026" type="#_x0000_t32" style="position:absolute;left:0;text-align:left;margin-left:341.55pt;margin-top:2.8pt;width:0;height:21.6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" strokecolor="black [3040]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8199F82" wp14:editId="2A08FE4B">
                <wp:simplePos x="0" y="0"/>
                <wp:positionH relativeFrom="column">
                  <wp:posOffset>1391920</wp:posOffset>
                </wp:positionH>
                <wp:positionV relativeFrom="paragraph">
                  <wp:posOffset>50165</wp:posOffset>
                </wp:positionV>
                <wp:extent cx="2955290" cy="0"/>
                <wp:effectExtent l="0" t="0" r="16510" b="1905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552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8" o:spid="_x0000_s1026" style="position:absolute;left:0;text-align:left;flip:y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09.6pt,3.95pt" to="342.3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" strokecolor="black [3040]"/>
            </w:pict>
          </mc:Fallback>
        </mc:AlternateContent>
      </w:r>
    </w:p>
    <w:p w:rsidR="00CB6CBE" w:rsidRDefault="009C5BB6">
      <w:pPr>
        <w:rPr>
          <w:rFonts w:ascii="Times New Roman" w:hAnsi="Times New Roman" w:cs="Times New Roman"/>
          <w:b/>
          <w:sz w:val="24"/>
        </w:rPr>
      </w:pPr>
      <w:r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6104256" wp14:editId="28CDB4D6">
                <wp:simplePos x="0" y="0"/>
                <wp:positionH relativeFrom="column">
                  <wp:posOffset>2685415</wp:posOffset>
                </wp:positionH>
                <wp:positionV relativeFrom="paragraph">
                  <wp:posOffset>21590</wp:posOffset>
                </wp:positionV>
                <wp:extent cx="3037205" cy="524510"/>
                <wp:effectExtent l="0" t="0" r="10795" b="2794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7205" cy="524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4459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Drug-treated patients</w:t>
                            </w:r>
                          </w:p>
                          <w:p w:rsidR="006A1F3B" w:rsidRDefault="006A1F3B" w:rsidP="004459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</w:t>
                            </w:r>
                            <w:r w:rsidRPr="008B691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171,728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3" type="#_x0000_t202" style="position:absolute;margin-left:211.45pt;margin-top:1.7pt;width:239.15pt;height:41.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">
                <v:textbox>
                  <w:txbxContent>
                    <w:p w:rsidR="006A1F3B" w:rsidRDefault="006A1F3B" w:rsidP="004459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Drug-treated patients</w:t>
                      </w:r>
                    </w:p>
                    <w:p w:rsidR="006A1F3B" w:rsidRDefault="006A1F3B" w:rsidP="004459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</w:t>
                      </w:r>
                      <w:r w:rsidRPr="008B691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171,728</w:t>
                      </w:r>
                    </w:p>
                  </w:txbxContent>
                </v:textbox>
              </v:shape>
            </w:pict>
          </mc:Fallback>
        </mc:AlternateContent>
      </w:r>
      <w:r w:rsidRPr="00FE60AA">
        <w:rPr>
          <w:rFonts w:ascii="Times New Roman" w:hAnsi="Times New Roman" w:cs="Times New Roman"/>
          <w:b/>
          <w:noProof/>
          <w:sz w:val="24"/>
          <w:lang w:eastAsia="ko-K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9F362D" wp14:editId="54EE64A4">
                <wp:simplePos x="0" y="0"/>
                <wp:positionH relativeFrom="column">
                  <wp:posOffset>94615</wp:posOffset>
                </wp:positionH>
                <wp:positionV relativeFrom="paragraph">
                  <wp:posOffset>22860</wp:posOffset>
                </wp:positionV>
                <wp:extent cx="2374265" cy="541655"/>
                <wp:effectExtent l="0" t="0" r="22860" b="10795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541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1F3B" w:rsidRDefault="006A1F3B" w:rsidP="004459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Ablated Patients</w:t>
                            </w:r>
                          </w:p>
                          <w:p w:rsidR="006A1F3B" w:rsidRPr="00FE60AA" w:rsidRDefault="006A1F3B" w:rsidP="004459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N=</w:t>
                            </w:r>
                            <w:r w:rsidRPr="008B691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12,032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7.45pt;margin-top:1.8pt;width:186.95pt;height:42.65pt;z-index:2516869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">
                <v:textbox>
                  <w:txbxContent>
                    <w:p w:rsidR="006A1F3B" w:rsidRDefault="006A1F3B" w:rsidP="004459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Ablated Patients</w:t>
                      </w:r>
                    </w:p>
                    <w:p w:rsidR="006A1F3B" w:rsidRPr="00FE60AA" w:rsidRDefault="006A1F3B" w:rsidP="004459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N=</w:t>
                      </w:r>
                      <w:r w:rsidRPr="008B691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12,032</w:t>
                      </w:r>
                    </w:p>
                  </w:txbxContent>
                </v:textbox>
              </v:shape>
            </w:pict>
          </mc:Fallback>
        </mc:AlternateContent>
      </w:r>
    </w:p>
    <w:p w:rsidR="005E065E" w:rsidRDefault="005E065E">
      <w:pPr>
        <w:rPr>
          <w:rFonts w:ascii="Times New Roman" w:hAnsi="Times New Roman" w:cs="Times New Roman"/>
          <w:b/>
          <w:sz w:val="24"/>
        </w:rPr>
      </w:pPr>
    </w:p>
    <w:p w:rsidR="004459A8" w:rsidRDefault="004459A8">
      <w:pPr>
        <w:rPr>
          <w:rFonts w:ascii="Times New Roman" w:hAnsi="Times New Roman" w:cs="Times New Roman"/>
          <w:sz w:val="24"/>
          <w:szCs w:val="24"/>
          <w:lang w:eastAsia="zh-CN"/>
        </w:rPr>
      </w:pPr>
    </w:p>
    <w:p w:rsidR="004459A8" w:rsidRDefault="004459A8">
      <w:pPr>
        <w:rPr>
          <w:rFonts w:ascii="Times New Roman" w:hAnsi="Times New Roman" w:cs="Times New Roman"/>
          <w:sz w:val="24"/>
          <w:szCs w:val="24"/>
          <w:lang w:eastAsia="zh-CN"/>
        </w:rPr>
      </w:pPr>
    </w:p>
    <w:p w:rsidR="004459A8" w:rsidRDefault="004459A8">
      <w:pPr>
        <w:rPr>
          <w:rFonts w:ascii="Times New Roman" w:hAnsi="Times New Roman" w:cs="Times New Roman"/>
          <w:sz w:val="24"/>
          <w:szCs w:val="24"/>
          <w:lang w:eastAsia="zh-CN"/>
        </w:rPr>
      </w:pPr>
    </w:p>
    <w:p w:rsidR="00FE60AA" w:rsidRDefault="00FE60AA">
      <w:pPr>
        <w:rPr>
          <w:rFonts w:ascii="Times New Roman" w:hAnsi="Times New Roman" w:cs="Times New Roman"/>
          <w:b/>
          <w:sz w:val="24"/>
        </w:rPr>
      </w:pPr>
    </w:p>
    <w:p w:rsidR="00C8039E" w:rsidRDefault="00C8039E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DA6F54" w:rsidRDefault="00DA6F54" w:rsidP="00DA6F54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Figure S2. Distribution of Propensity Score</w:t>
      </w:r>
      <w:r w:rsidR="00530758">
        <w:rPr>
          <w:rFonts w:ascii="Times New Roman" w:hAnsi="Times New Roman" w:cs="Times New Roman"/>
          <w:b/>
          <w:sz w:val="24"/>
        </w:rPr>
        <w:t>s</w:t>
      </w:r>
      <w:r>
        <w:rPr>
          <w:rFonts w:ascii="Times New Roman" w:hAnsi="Times New Roman" w:cs="Times New Roman"/>
          <w:b/>
          <w:sz w:val="24"/>
        </w:rPr>
        <w:t>,</w:t>
      </w:r>
      <w:r w:rsidR="00524A2B">
        <w:rPr>
          <w:rFonts w:ascii="Times New Roman" w:hAnsi="Times New Roman" w:cs="Times New Roman"/>
          <w:b/>
          <w:sz w:val="24"/>
        </w:rPr>
        <w:t xml:space="preserve"> Stratified by Treatment Groups</w:t>
      </w:r>
    </w:p>
    <w:p w:rsidR="00830B64" w:rsidRDefault="0015383D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ko-KR"/>
        </w:rPr>
        <w:drawing>
          <wp:inline distT="0" distB="0" distL="0" distR="0" wp14:anchorId="5897D100" wp14:editId="5339DCA4">
            <wp:extent cx="5857336" cy="4321834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 graph overall cohort new.ti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37"/>
                    <a:stretch/>
                  </pic:blipFill>
                  <pic:spPr bwMode="auto">
                    <a:xfrm>
                      <a:off x="0" y="0"/>
                      <a:ext cx="5858164" cy="4322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4A2B" w:rsidRDefault="00524A2B">
      <w:pPr>
        <w:rPr>
          <w:rFonts w:ascii="Times New Roman" w:hAnsi="Times New Roman" w:cs="Times New Roman"/>
          <w:sz w:val="20"/>
        </w:rPr>
      </w:pPr>
      <w:r w:rsidRPr="00524A2B">
        <w:rPr>
          <w:rFonts w:ascii="Times New Roman" w:hAnsi="Times New Roman" w:cs="Times New Roman"/>
          <w:sz w:val="20"/>
        </w:rPr>
        <w:t xml:space="preserve">The distribution of propensity score in each of the three groups (patients who were eligible for CABANA, patients who failed to meet </w:t>
      </w:r>
      <w:r>
        <w:rPr>
          <w:rFonts w:ascii="Times New Roman" w:hAnsi="Times New Roman" w:cs="Times New Roman"/>
          <w:sz w:val="20"/>
        </w:rPr>
        <w:t xml:space="preserve">the </w:t>
      </w:r>
      <w:r w:rsidRPr="00524A2B">
        <w:rPr>
          <w:rFonts w:ascii="Times New Roman" w:hAnsi="Times New Roman" w:cs="Times New Roman"/>
          <w:sz w:val="20"/>
        </w:rPr>
        <w:t xml:space="preserve">inclusion </w:t>
      </w:r>
      <w:proofErr w:type="gramStart"/>
      <w:r w:rsidRPr="00524A2B">
        <w:rPr>
          <w:rFonts w:ascii="Times New Roman" w:hAnsi="Times New Roman" w:cs="Times New Roman"/>
          <w:sz w:val="20"/>
        </w:rPr>
        <w:t>criterion,</w:t>
      </w:r>
      <w:proofErr w:type="gramEnd"/>
      <w:r w:rsidRPr="00524A2B">
        <w:rPr>
          <w:rFonts w:ascii="Times New Roman" w:hAnsi="Times New Roman" w:cs="Times New Roman"/>
          <w:sz w:val="20"/>
        </w:rPr>
        <w:t xml:space="preserve"> and patients who met at least one of the trial exclusion criteria) were largely the same as </w:t>
      </w:r>
      <w:r w:rsidR="00A77E34">
        <w:rPr>
          <w:rFonts w:ascii="Times New Roman" w:hAnsi="Times New Roman" w:cs="Times New Roman"/>
          <w:sz w:val="20"/>
        </w:rPr>
        <w:t xml:space="preserve">the </w:t>
      </w:r>
      <w:r w:rsidRPr="00524A2B">
        <w:rPr>
          <w:rFonts w:ascii="Times New Roman" w:hAnsi="Times New Roman" w:cs="Times New Roman"/>
          <w:sz w:val="20"/>
        </w:rPr>
        <w:t>graph above.</w:t>
      </w:r>
    </w:p>
    <w:p w:rsidR="008C3C90" w:rsidRDefault="008C3C90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Although the majority of the drug-treated patients had a propensity score close to 0, the number of drug-treated patients was very large, and</w:t>
      </w:r>
      <w:r w:rsidR="00474E8D">
        <w:rPr>
          <w:rFonts w:ascii="Times New Roman" w:hAnsi="Times New Roman" w:cs="Times New Roman"/>
          <w:sz w:val="20"/>
        </w:rPr>
        <w:t xml:space="preserve"> thus</w:t>
      </w:r>
      <w:r>
        <w:rPr>
          <w:rFonts w:ascii="Times New Roman" w:hAnsi="Times New Roman" w:cs="Times New Roman"/>
          <w:sz w:val="20"/>
        </w:rPr>
        <w:t xml:space="preserve"> there was still sufficient overlap between the ablated patients and drug-treated patients. </w:t>
      </w:r>
    </w:p>
    <w:p w:rsidR="0015383D" w:rsidRPr="00524A2B" w:rsidRDefault="0015383D">
      <w:pPr>
        <w:rPr>
          <w:rFonts w:ascii="Times New Roman" w:hAnsi="Times New Roman" w:cs="Times New Roman"/>
          <w:sz w:val="20"/>
        </w:rPr>
      </w:pPr>
      <w:r w:rsidRPr="0015383D">
        <w:rPr>
          <w:rFonts w:ascii="Times New Roman" w:hAnsi="Times New Roman" w:cs="Times New Roman"/>
          <w:sz w:val="20"/>
        </w:rPr>
        <w:t>The overlap weight was calculated as 1 minus propensity score for the ablated patients, and the propensity scor</w:t>
      </w:r>
      <w:r w:rsidR="008C3C90">
        <w:rPr>
          <w:rFonts w:ascii="Times New Roman" w:hAnsi="Times New Roman" w:cs="Times New Roman"/>
          <w:sz w:val="20"/>
        </w:rPr>
        <w:t xml:space="preserve">e for the drug-treated patients. Therefore, the distribution of the weight was the same as the distribution of the propensity score in the drug-treated patients, and 1 minus propensity score in the ablated patients. </w:t>
      </w:r>
    </w:p>
    <w:p w:rsidR="00830B64" w:rsidRDefault="00830B64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265BDF" w:rsidRDefault="004459A8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Figure S3</w:t>
      </w:r>
      <w:r w:rsidR="00265BDF" w:rsidRPr="00265BDF">
        <w:rPr>
          <w:rFonts w:ascii="Times New Roman" w:hAnsi="Times New Roman" w:cs="Times New Roman"/>
          <w:b/>
          <w:sz w:val="24"/>
        </w:rPr>
        <w:t xml:space="preserve">. Subgroup Analysis for Primary Outcome in Propensity Score Weighted Patients </w:t>
      </w:r>
      <w:r w:rsidR="004C4A8C">
        <w:rPr>
          <w:rFonts w:ascii="Times New Roman" w:hAnsi="Times New Roman" w:cs="Times New Roman"/>
          <w:b/>
          <w:sz w:val="24"/>
        </w:rPr>
        <w:t>Who Were Eligible for CABANA</w:t>
      </w:r>
    </w:p>
    <w:p w:rsidR="00265BDF" w:rsidRDefault="004C6C64">
      <w:pPr>
        <w:rPr>
          <w:rFonts w:ascii="Times New Roman" w:hAnsi="Times New Roman" w:cs="Times New Roman"/>
          <w:b/>
          <w:sz w:val="24"/>
        </w:rPr>
      </w:pPr>
      <w:r>
        <w:rPr>
          <w:noProof/>
          <w:lang w:eastAsia="ko-KR"/>
        </w:rPr>
        <w:drawing>
          <wp:inline distT="0" distB="0" distL="0" distR="0" wp14:anchorId="6DD27224" wp14:editId="3D71C4DE">
            <wp:extent cx="5943600" cy="482219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2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560" w:rsidRPr="00A6437F" w:rsidRDefault="000C7560" w:rsidP="000C7560">
      <w:pPr>
        <w:rPr>
          <w:rFonts w:ascii="Times New Roman" w:hAnsi="Times New Roman" w:cs="Times New Roman"/>
          <w:sz w:val="20"/>
        </w:rPr>
      </w:pPr>
      <w:r w:rsidRPr="00A6437F">
        <w:rPr>
          <w:rFonts w:ascii="Times New Roman" w:hAnsi="Times New Roman" w:cs="Times New Roman"/>
          <w:sz w:val="20"/>
        </w:rPr>
        <w:t>HTN denotes hypertension, and LVH left ventricular hypertrophy</w:t>
      </w:r>
      <w:r>
        <w:rPr>
          <w:rFonts w:ascii="Times New Roman" w:hAnsi="Times New Roman" w:cs="Times New Roman"/>
          <w:sz w:val="20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P</w:t>
      </w:r>
      <w:r w:rsidRPr="005E2C11">
        <w:rPr>
          <w:rFonts w:ascii="Times New Roman" w:hAnsi="Times New Roman" w:cs="Times New Roman"/>
          <w:sz w:val="20"/>
          <w:szCs w:val="20"/>
        </w:rPr>
        <w:t xml:space="preserve">rior thromboembolism </w:t>
      </w:r>
      <w:r>
        <w:rPr>
          <w:rFonts w:ascii="Times New Roman" w:hAnsi="Times New Roman" w:cs="Times New Roman"/>
          <w:sz w:val="20"/>
          <w:szCs w:val="20"/>
        </w:rPr>
        <w:t xml:space="preserve">includes ischemic </w:t>
      </w:r>
      <w:r w:rsidRPr="005E2C11">
        <w:rPr>
          <w:rFonts w:ascii="Times New Roman" w:hAnsi="Times New Roman" w:cs="Times New Roman"/>
          <w:sz w:val="20"/>
          <w:szCs w:val="20"/>
        </w:rPr>
        <w:t>stroke, TIA or</w:t>
      </w:r>
      <w:r>
        <w:rPr>
          <w:rFonts w:ascii="Times New Roman" w:hAnsi="Times New Roman" w:cs="Times New Roman"/>
          <w:sz w:val="20"/>
          <w:szCs w:val="20"/>
        </w:rPr>
        <w:t xml:space="preserve"> systemic embolism)</w:t>
      </w:r>
      <w:r w:rsidRPr="005E2C11">
        <w:rPr>
          <w:rFonts w:ascii="Times New Roman" w:hAnsi="Times New Roman" w:cs="Times New Roman"/>
          <w:sz w:val="20"/>
          <w:szCs w:val="20"/>
        </w:rPr>
        <w:t>.</w:t>
      </w:r>
    </w:p>
    <w:p w:rsidR="00820B89" w:rsidRPr="00A6437F" w:rsidRDefault="00820B89" w:rsidP="00820B89">
      <w:pPr>
        <w:rPr>
          <w:rFonts w:ascii="Times New Roman" w:hAnsi="Times New Roman" w:cs="Times New Roman"/>
          <w:sz w:val="20"/>
        </w:rPr>
      </w:pPr>
      <w:r w:rsidRPr="00A6437F">
        <w:rPr>
          <w:rFonts w:ascii="Times New Roman" w:hAnsi="Times New Roman" w:cs="Times New Roman"/>
          <w:sz w:val="20"/>
        </w:rPr>
        <w:t xml:space="preserve">Hazard ratios and P values for interaction are based on Cox proportional hazards regression analyses on the composite endpoint of 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mortality, stroke, major bleeding, or cardiac arrest</w:t>
      </w:r>
      <w:r w:rsidRPr="00A6437F">
        <w:rPr>
          <w:rFonts w:ascii="Times New Roman" w:hAnsi="Times New Roman" w:cs="Times New Roman"/>
          <w:sz w:val="20"/>
        </w:rPr>
        <w:t xml:space="preserve">. There </w:t>
      </w:r>
      <w:r w:rsidR="004C6C64" w:rsidRPr="00A6437F">
        <w:rPr>
          <w:rFonts w:ascii="Times New Roman" w:hAnsi="Times New Roman" w:cs="Times New Roman"/>
          <w:sz w:val="20"/>
        </w:rPr>
        <w:t>were</w:t>
      </w:r>
      <w:r w:rsidR="003A6A62" w:rsidRPr="00A6437F">
        <w:rPr>
          <w:rFonts w:ascii="Times New Roman" w:hAnsi="Times New Roman" w:cs="Times New Roman"/>
          <w:sz w:val="20"/>
        </w:rPr>
        <w:t xml:space="preserve"> </w:t>
      </w:r>
      <w:r w:rsidRPr="00A6437F">
        <w:rPr>
          <w:rFonts w:ascii="Times New Roman" w:hAnsi="Times New Roman" w:cs="Times New Roman"/>
          <w:sz w:val="20"/>
        </w:rPr>
        <w:t>significant interaction</w:t>
      </w:r>
      <w:r w:rsidR="004C6C64" w:rsidRPr="00A6437F">
        <w:rPr>
          <w:rFonts w:ascii="Times New Roman" w:hAnsi="Times New Roman" w:cs="Times New Roman"/>
          <w:sz w:val="20"/>
        </w:rPr>
        <w:t>s</w:t>
      </w:r>
      <w:r w:rsidRPr="00A6437F">
        <w:rPr>
          <w:rFonts w:ascii="Times New Roman" w:hAnsi="Times New Roman" w:cs="Times New Roman"/>
          <w:sz w:val="20"/>
        </w:rPr>
        <w:t xml:space="preserve"> between treatment and age, sex, 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CHA</w:t>
      </w:r>
      <w:r w:rsidRPr="00A6437F">
        <w:rPr>
          <w:rFonts w:ascii="Times New Roman" w:hAnsi="Times New Roman" w:cs="Times New Roman"/>
          <w:sz w:val="20"/>
          <w:szCs w:val="24"/>
          <w:vertAlign w:val="subscript"/>
          <w:lang w:eastAsia="zh-CN"/>
        </w:rPr>
        <w:t>2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DS</w:t>
      </w:r>
      <w:r w:rsidRPr="00A6437F">
        <w:rPr>
          <w:rFonts w:ascii="Times New Roman" w:hAnsi="Times New Roman" w:cs="Times New Roman"/>
          <w:sz w:val="20"/>
          <w:szCs w:val="24"/>
          <w:vertAlign w:val="subscript"/>
          <w:lang w:eastAsia="zh-CN"/>
        </w:rPr>
        <w:t>2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-VASc score and heart failure, which impl</w:t>
      </w:r>
      <w:r w:rsidR="00474E8D" w:rsidRPr="00A6437F">
        <w:rPr>
          <w:rFonts w:ascii="Times New Roman" w:hAnsi="Times New Roman" w:cs="Times New Roman"/>
          <w:sz w:val="20"/>
          <w:szCs w:val="24"/>
          <w:lang w:eastAsia="zh-CN"/>
        </w:rPr>
        <w:t>y that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 xml:space="preserve"> the reduction associated with ablation was greater in patients </w:t>
      </w:r>
      <w:proofErr w:type="gramStart"/>
      <w:r w:rsidRPr="00A6437F">
        <w:rPr>
          <w:rFonts w:ascii="Times New Roman" w:hAnsi="Times New Roman" w:cs="Times New Roman"/>
          <w:sz w:val="20"/>
          <w:szCs w:val="24"/>
          <w:lang w:eastAsia="zh-CN"/>
        </w:rPr>
        <w:t>under</w:t>
      </w:r>
      <w:proofErr w:type="gramEnd"/>
      <w:r w:rsidRPr="00A6437F">
        <w:rPr>
          <w:rFonts w:ascii="Times New Roman" w:hAnsi="Times New Roman" w:cs="Times New Roman"/>
          <w:sz w:val="20"/>
          <w:szCs w:val="24"/>
          <w:lang w:eastAsia="zh-CN"/>
        </w:rPr>
        <w:t xml:space="preserve"> 65 years, men, patients with a low 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</w:rPr>
        <w:t>CHA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  <w:vertAlign w:val="subscript"/>
        </w:rPr>
        <w:t>2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</w:rPr>
        <w:t>DS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  <w:vertAlign w:val="subscript"/>
        </w:rPr>
        <w:t>2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</w:rPr>
        <w:t>-VASc</w:t>
      </w:r>
      <w:r w:rsidRPr="00A6437F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 xml:space="preserve">score, and patients without heart failure. </w:t>
      </w:r>
    </w:p>
    <w:p w:rsidR="004C6C64" w:rsidRDefault="004C6C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:rsidR="004C6C64" w:rsidRDefault="004C6C64" w:rsidP="004C6C64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Figure S4</w:t>
      </w:r>
      <w:r w:rsidRPr="00265BDF">
        <w:rPr>
          <w:rFonts w:ascii="Times New Roman" w:hAnsi="Times New Roman" w:cs="Times New Roman"/>
          <w:b/>
          <w:sz w:val="24"/>
        </w:rPr>
        <w:t xml:space="preserve">. </w:t>
      </w:r>
      <w:r w:rsidRPr="004C6C64">
        <w:rPr>
          <w:rFonts w:ascii="Times New Roman" w:hAnsi="Times New Roman" w:cs="Times New Roman"/>
          <w:b/>
          <w:sz w:val="24"/>
        </w:rPr>
        <w:t>Subgroup Analysis for Primary Outcome in Propensity Score Weighted Patients Who Failed to Meet CABANA Inclusion Criterion</w:t>
      </w:r>
    </w:p>
    <w:p w:rsidR="00F46924" w:rsidRDefault="009C5ED6" w:rsidP="00F46924">
      <w:pPr>
        <w:rPr>
          <w:rFonts w:ascii="Times New Roman" w:hAnsi="Times New Roman" w:cs="Times New Roman"/>
          <w:b/>
          <w:sz w:val="24"/>
        </w:rPr>
      </w:pPr>
      <w:r>
        <w:rPr>
          <w:noProof/>
          <w:lang w:eastAsia="ko-KR"/>
        </w:rPr>
        <w:drawing>
          <wp:inline distT="0" distB="0" distL="0" distR="0" wp14:anchorId="1CB03BC4" wp14:editId="24D840AC">
            <wp:extent cx="5943600" cy="2414270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560" w:rsidRDefault="000C7560" w:rsidP="003972D4">
      <w:pPr>
        <w:rPr>
          <w:rFonts w:ascii="Times New Roman" w:hAnsi="Times New Roman" w:cs="Times New Roman"/>
          <w:sz w:val="20"/>
          <w:szCs w:val="20"/>
        </w:rPr>
      </w:pPr>
      <w:r w:rsidRPr="00EA181D">
        <w:rPr>
          <w:rFonts w:ascii="Times New Roman" w:hAnsi="Times New Roman" w:cs="Times New Roman"/>
          <w:sz w:val="20"/>
          <w:szCs w:val="20"/>
        </w:rPr>
        <w:t xml:space="preserve">To maintain de-identification, OptumLabs does not allow researchers to disclose the number of events when the number is 10 or fewer. </w:t>
      </w:r>
      <w:r w:rsidRPr="002B014E">
        <w:rPr>
          <w:rFonts w:ascii="Times New Roman" w:hAnsi="Times New Roman" w:cs="Times New Roman"/>
          <w:sz w:val="20"/>
          <w:szCs w:val="20"/>
        </w:rPr>
        <w:t>Medicare data has similar requirements.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3972D4" w:rsidRPr="00461F8D" w:rsidRDefault="00F46924" w:rsidP="003972D4">
      <w:pPr>
        <w:rPr>
          <w:rFonts w:ascii="Times New Roman" w:hAnsi="Times New Roman" w:cs="Times New Roman"/>
          <w:sz w:val="24"/>
          <w:szCs w:val="24"/>
          <w:lang w:eastAsia="zh-CN"/>
        </w:rPr>
      </w:pPr>
      <w:r w:rsidRPr="0040668B">
        <w:rPr>
          <w:rFonts w:ascii="Times New Roman" w:hAnsi="Times New Roman" w:cs="Times New Roman"/>
          <w:sz w:val="20"/>
        </w:rPr>
        <w:t xml:space="preserve">Hazard ratios and P values for interaction are based on Cox proportional hazards regression analyses on the composite endpoint of </w:t>
      </w:r>
      <w:r w:rsidRPr="0040668B">
        <w:rPr>
          <w:rFonts w:ascii="Times New Roman" w:hAnsi="Times New Roman" w:cs="Times New Roman"/>
          <w:sz w:val="20"/>
          <w:szCs w:val="24"/>
          <w:lang w:eastAsia="zh-CN"/>
        </w:rPr>
        <w:t>mortality, stroke, major bleeding, or cardiac arrest</w:t>
      </w:r>
      <w:r w:rsidRPr="0040668B">
        <w:rPr>
          <w:rFonts w:ascii="Times New Roman" w:hAnsi="Times New Roman" w:cs="Times New Roman"/>
          <w:sz w:val="20"/>
        </w:rPr>
        <w:t>. There were no significant interactions in this analysis.</w:t>
      </w:r>
      <w:r w:rsidR="003972D4">
        <w:rPr>
          <w:rFonts w:ascii="Times New Roman" w:hAnsi="Times New Roman" w:cs="Times New Roman"/>
          <w:sz w:val="20"/>
        </w:rPr>
        <w:t xml:space="preserve"> </w:t>
      </w:r>
    </w:p>
    <w:p w:rsidR="00F46924" w:rsidRPr="0040668B" w:rsidRDefault="00F46924" w:rsidP="00F46924">
      <w:pPr>
        <w:rPr>
          <w:rFonts w:ascii="Times New Roman" w:hAnsi="Times New Roman" w:cs="Times New Roman"/>
          <w:sz w:val="20"/>
        </w:rPr>
      </w:pPr>
    </w:p>
    <w:p w:rsidR="004C6C64" w:rsidRDefault="004C6C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:rsidR="004C6C64" w:rsidRDefault="004C6C64" w:rsidP="004C6C64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Figure S5</w:t>
      </w:r>
      <w:r w:rsidRPr="00265BDF">
        <w:rPr>
          <w:rFonts w:ascii="Times New Roman" w:hAnsi="Times New Roman" w:cs="Times New Roman"/>
          <w:b/>
          <w:sz w:val="24"/>
        </w:rPr>
        <w:t xml:space="preserve">. </w:t>
      </w:r>
      <w:r w:rsidRPr="004C6C64">
        <w:rPr>
          <w:rFonts w:ascii="Times New Roman" w:hAnsi="Times New Roman" w:cs="Times New Roman"/>
          <w:b/>
          <w:sz w:val="24"/>
        </w:rPr>
        <w:t>Subgroup Analysis for Primary Outcome in Propensity Score Weighted Patients Who Met At Least One of the CABANA Exclusion Criterion</w:t>
      </w:r>
    </w:p>
    <w:p w:rsidR="00F46924" w:rsidRDefault="00F46924" w:rsidP="00F46924">
      <w:pPr>
        <w:rPr>
          <w:rFonts w:ascii="Times New Roman" w:hAnsi="Times New Roman" w:cs="Times New Roman"/>
          <w:b/>
          <w:sz w:val="24"/>
        </w:rPr>
      </w:pPr>
      <w:r>
        <w:rPr>
          <w:noProof/>
          <w:lang w:eastAsia="ko-KR"/>
        </w:rPr>
        <w:drawing>
          <wp:inline distT="0" distB="0" distL="0" distR="0" wp14:anchorId="130AFA45" wp14:editId="272FE409">
            <wp:extent cx="5943600" cy="4566285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6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181" w:rsidRDefault="00123181" w:rsidP="00123181">
      <w:pPr>
        <w:rPr>
          <w:rFonts w:ascii="Times New Roman" w:hAnsi="Times New Roman" w:cs="Times New Roman"/>
          <w:sz w:val="20"/>
          <w:szCs w:val="20"/>
        </w:rPr>
      </w:pPr>
      <w:r w:rsidRPr="00EA181D">
        <w:rPr>
          <w:rFonts w:ascii="Times New Roman" w:hAnsi="Times New Roman" w:cs="Times New Roman"/>
          <w:sz w:val="20"/>
          <w:szCs w:val="20"/>
        </w:rPr>
        <w:t xml:space="preserve">To maintain de-identification, OptumLabs does not allow researchers to disclose the number of events when the number is 10 or fewer. </w:t>
      </w:r>
      <w:r w:rsidRPr="002B014E">
        <w:rPr>
          <w:rFonts w:ascii="Times New Roman" w:hAnsi="Times New Roman" w:cs="Times New Roman"/>
          <w:sz w:val="20"/>
          <w:szCs w:val="20"/>
        </w:rPr>
        <w:t>Medicare data has similar requirements.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3972D4" w:rsidRPr="00461F8D" w:rsidRDefault="00F46924" w:rsidP="003972D4">
      <w:pPr>
        <w:rPr>
          <w:rFonts w:ascii="Times New Roman" w:hAnsi="Times New Roman" w:cs="Times New Roman"/>
          <w:sz w:val="24"/>
          <w:szCs w:val="24"/>
          <w:lang w:eastAsia="zh-CN"/>
        </w:rPr>
      </w:pPr>
      <w:r w:rsidRPr="00A6437F">
        <w:rPr>
          <w:rFonts w:ascii="Times New Roman" w:hAnsi="Times New Roman" w:cs="Times New Roman"/>
          <w:sz w:val="20"/>
        </w:rPr>
        <w:t xml:space="preserve">Hazard ratios and P values for interaction are based on Cox proportional hazards regression analyses on the composite endpoint of 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mortality, stroke, major bleeding, or cardiac arrest</w:t>
      </w:r>
      <w:r w:rsidRPr="00A6437F">
        <w:rPr>
          <w:rFonts w:ascii="Times New Roman" w:hAnsi="Times New Roman" w:cs="Times New Roman"/>
          <w:sz w:val="20"/>
        </w:rPr>
        <w:t xml:space="preserve">. There were significant interactions between treatment and age, 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CHA</w:t>
      </w:r>
      <w:r w:rsidRPr="00A6437F">
        <w:rPr>
          <w:rFonts w:ascii="Times New Roman" w:hAnsi="Times New Roman" w:cs="Times New Roman"/>
          <w:sz w:val="20"/>
          <w:szCs w:val="24"/>
          <w:vertAlign w:val="subscript"/>
          <w:lang w:eastAsia="zh-CN"/>
        </w:rPr>
        <w:t>2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DS</w:t>
      </w:r>
      <w:r w:rsidRPr="00A6437F">
        <w:rPr>
          <w:rFonts w:ascii="Times New Roman" w:hAnsi="Times New Roman" w:cs="Times New Roman"/>
          <w:sz w:val="20"/>
          <w:szCs w:val="24"/>
          <w:vertAlign w:val="subscript"/>
          <w:lang w:eastAsia="zh-CN"/>
        </w:rPr>
        <w:t>2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>-VASc score, and prior thromboembolism, which impl</w:t>
      </w:r>
      <w:r w:rsidR="00CE401A">
        <w:rPr>
          <w:rFonts w:ascii="Times New Roman" w:hAnsi="Times New Roman" w:cs="Times New Roman"/>
          <w:sz w:val="20"/>
          <w:szCs w:val="24"/>
          <w:lang w:eastAsia="zh-CN"/>
        </w:rPr>
        <w:t>y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 xml:space="preserve"> the reduction associated with ablation was greater in patients </w:t>
      </w:r>
      <w:proofErr w:type="gramStart"/>
      <w:r w:rsidRPr="00A6437F">
        <w:rPr>
          <w:rFonts w:ascii="Times New Roman" w:hAnsi="Times New Roman" w:cs="Times New Roman"/>
          <w:sz w:val="20"/>
          <w:szCs w:val="24"/>
          <w:lang w:eastAsia="zh-CN"/>
        </w:rPr>
        <w:t>under</w:t>
      </w:r>
      <w:proofErr w:type="gramEnd"/>
      <w:r w:rsidRPr="00A6437F">
        <w:rPr>
          <w:rFonts w:ascii="Times New Roman" w:hAnsi="Times New Roman" w:cs="Times New Roman"/>
          <w:sz w:val="20"/>
          <w:szCs w:val="24"/>
          <w:lang w:eastAsia="zh-CN"/>
        </w:rPr>
        <w:t xml:space="preserve"> 75 years, patients with a low 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</w:rPr>
        <w:t>CHA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  <w:vertAlign w:val="subscript"/>
        </w:rPr>
        <w:t>2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</w:rPr>
        <w:t>DS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  <w:vertAlign w:val="subscript"/>
        </w:rPr>
        <w:t>2</w:t>
      </w:r>
      <w:r w:rsidRPr="00A6437F">
        <w:rPr>
          <w:rFonts w:ascii="Times New Roman" w:eastAsia="SimSun" w:hAnsi="Times New Roman" w:cs="Times New Roman"/>
          <w:color w:val="000000"/>
          <w:sz w:val="20"/>
          <w:szCs w:val="20"/>
        </w:rPr>
        <w:t>-VASc</w:t>
      </w:r>
      <w:r w:rsidRPr="00A6437F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Pr="00A6437F">
        <w:rPr>
          <w:rFonts w:ascii="Times New Roman" w:hAnsi="Times New Roman" w:cs="Times New Roman"/>
          <w:sz w:val="20"/>
          <w:szCs w:val="24"/>
          <w:lang w:eastAsia="zh-CN"/>
        </w:rPr>
        <w:t xml:space="preserve">score, and patients without prior thromboembolism. </w:t>
      </w:r>
    </w:p>
    <w:p w:rsidR="00F46924" w:rsidRPr="00A6437F" w:rsidRDefault="00F46924" w:rsidP="00F46924">
      <w:pPr>
        <w:rPr>
          <w:rFonts w:ascii="Times New Roman" w:hAnsi="Times New Roman" w:cs="Times New Roman"/>
          <w:sz w:val="20"/>
        </w:rPr>
      </w:pPr>
    </w:p>
    <w:p w:rsidR="00F46924" w:rsidRPr="00A6437F" w:rsidRDefault="00F46924" w:rsidP="00F46924">
      <w:pPr>
        <w:rPr>
          <w:rFonts w:ascii="Times New Roman" w:hAnsi="Times New Roman" w:cs="Times New Roman"/>
          <w:sz w:val="20"/>
        </w:rPr>
      </w:pPr>
    </w:p>
    <w:p w:rsidR="00CE1DAD" w:rsidRDefault="00CE1DAD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CE1DAD" w:rsidRPr="00A93312" w:rsidRDefault="007E2737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Figure S</w:t>
      </w:r>
      <w:r w:rsidR="005430F5">
        <w:rPr>
          <w:rFonts w:ascii="Times New Roman" w:hAnsi="Times New Roman" w:cs="Times New Roman"/>
          <w:b/>
          <w:sz w:val="24"/>
        </w:rPr>
        <w:t>6</w:t>
      </w:r>
      <w:r w:rsidR="008861CC">
        <w:rPr>
          <w:rFonts w:ascii="Times New Roman" w:hAnsi="Times New Roman" w:cs="Times New Roman"/>
          <w:b/>
          <w:sz w:val="24"/>
        </w:rPr>
        <w:t>. Effect of a</w:t>
      </w:r>
      <w:r w:rsidR="00A93312" w:rsidRPr="00A93312">
        <w:rPr>
          <w:rFonts w:ascii="Times New Roman" w:hAnsi="Times New Roman" w:cs="Times New Roman"/>
          <w:b/>
          <w:sz w:val="24"/>
        </w:rPr>
        <w:t>n Un</w:t>
      </w:r>
      <w:r w:rsidR="00A93312">
        <w:rPr>
          <w:rFonts w:ascii="Times New Roman" w:hAnsi="Times New Roman" w:cs="Times New Roman"/>
          <w:b/>
          <w:sz w:val="24"/>
        </w:rPr>
        <w:t>measured Co</w:t>
      </w:r>
      <w:r w:rsidR="00A93312" w:rsidRPr="00A93312">
        <w:rPr>
          <w:rFonts w:ascii="Times New Roman" w:hAnsi="Times New Roman" w:cs="Times New Roman"/>
          <w:b/>
          <w:sz w:val="24"/>
        </w:rPr>
        <w:t>nfounder</w:t>
      </w:r>
    </w:p>
    <w:p w:rsidR="00A93312" w:rsidRDefault="00A93312">
      <w:pPr>
        <w:rPr>
          <w:rFonts w:ascii="Times New Roman" w:hAnsi="Times New Roman" w:cs="Times New Roman"/>
        </w:rPr>
      </w:pPr>
      <w:r>
        <w:rPr>
          <w:noProof/>
          <w:lang w:eastAsia="ko-KR"/>
        </w:rPr>
        <w:drawing>
          <wp:inline distT="0" distB="0" distL="0" distR="0" wp14:anchorId="2F5B66AB" wp14:editId="607E70CE">
            <wp:extent cx="5899868" cy="3824578"/>
            <wp:effectExtent l="0" t="0" r="24765" b="2413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74289E" w:rsidRPr="00820B89" w:rsidRDefault="0074289E" w:rsidP="0074289E">
      <w:pPr>
        <w:rPr>
          <w:rFonts w:ascii="Times New Roman" w:hAnsi="Times New Roman" w:cs="Times New Roman"/>
          <w:sz w:val="24"/>
        </w:rPr>
      </w:pPr>
      <w:r w:rsidRPr="00820B89">
        <w:rPr>
          <w:rFonts w:ascii="Times New Roman" w:hAnsi="Times New Roman" w:cs="Times New Roman"/>
          <w:sz w:val="24"/>
        </w:rPr>
        <w:t>Shown is a sensitivity analysis that illustrate</w:t>
      </w:r>
      <w:r w:rsidR="00972E6A" w:rsidRPr="00820B89">
        <w:rPr>
          <w:rFonts w:ascii="Times New Roman" w:hAnsi="Times New Roman" w:cs="Times New Roman"/>
          <w:sz w:val="24"/>
        </w:rPr>
        <w:t>s</w:t>
      </w:r>
      <w:r w:rsidRPr="00820B89">
        <w:rPr>
          <w:rFonts w:ascii="Times New Roman" w:hAnsi="Times New Roman" w:cs="Times New Roman"/>
          <w:sz w:val="24"/>
        </w:rPr>
        <w:t xml:space="preserve"> how powerful a single confounder would have to be to account for the risk reduction associated with ablation observed in this study. A single unmeasured confounder could produce the observed risk reduction only if it substantially increased the risk (e.g. hazard ratio&gt;2) or when there were substantial imbalance in terms of the prevalence of the risk factor in the two groups (e.g., a prevalence of 5% in </w:t>
      </w:r>
      <w:r w:rsidR="001B71EE" w:rsidRPr="00820B89">
        <w:rPr>
          <w:rFonts w:ascii="Times New Roman" w:hAnsi="Times New Roman" w:cs="Times New Roman"/>
          <w:sz w:val="24"/>
        </w:rPr>
        <w:t>ablated patients</w:t>
      </w:r>
      <w:r w:rsidRPr="00820B89">
        <w:rPr>
          <w:rFonts w:ascii="Times New Roman" w:hAnsi="Times New Roman" w:cs="Times New Roman"/>
          <w:sz w:val="24"/>
        </w:rPr>
        <w:t xml:space="preserve"> and 70% in </w:t>
      </w:r>
      <w:r w:rsidR="001B71EE" w:rsidRPr="00820B89">
        <w:rPr>
          <w:rFonts w:ascii="Times New Roman" w:hAnsi="Times New Roman" w:cs="Times New Roman"/>
          <w:sz w:val="24"/>
        </w:rPr>
        <w:t>drug-treated patients</w:t>
      </w:r>
      <w:r w:rsidRPr="00820B89">
        <w:rPr>
          <w:rFonts w:ascii="Times New Roman" w:hAnsi="Times New Roman" w:cs="Times New Roman"/>
          <w:sz w:val="24"/>
        </w:rPr>
        <w:t xml:space="preserve">). For example, if a confounder was present in 10% of the ablated patients (red curved line) but in 30% of patients in the drug-treated group (x axis), and if it increased the risk of the primary outcome by a hazard ratio of </w:t>
      </w:r>
      <w:r w:rsidR="00F82821" w:rsidRPr="00820B89">
        <w:rPr>
          <w:rFonts w:ascii="Times New Roman" w:hAnsi="Times New Roman" w:cs="Times New Roman"/>
          <w:sz w:val="24"/>
        </w:rPr>
        <w:t>3.73</w:t>
      </w:r>
      <w:r w:rsidRPr="00820B89">
        <w:rPr>
          <w:rFonts w:ascii="Times New Roman" w:hAnsi="Times New Roman" w:cs="Times New Roman"/>
          <w:sz w:val="24"/>
        </w:rPr>
        <w:t>, then that confounder alone could itself account for the observed risk reduction associated with ablation.</w:t>
      </w:r>
    </w:p>
    <w:sectPr w:rsidR="0074289E" w:rsidRPr="00820B89" w:rsidSect="00D655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7277" w:rsidRDefault="004C7277" w:rsidP="003E0344">
      <w:pPr>
        <w:spacing w:after="0" w:line="240" w:lineRule="auto"/>
      </w:pPr>
      <w:r>
        <w:separator/>
      </w:r>
    </w:p>
  </w:endnote>
  <w:endnote w:type="continuationSeparator" w:id="0">
    <w:p w:rsidR="004C7277" w:rsidRDefault="004C7277" w:rsidP="003E03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916767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sz w:val="24"/>
      </w:rPr>
    </w:sdtEndPr>
    <w:sdtContent>
      <w:p w:rsidR="006A1F3B" w:rsidRPr="003E0344" w:rsidRDefault="006A1F3B">
        <w:pPr>
          <w:pStyle w:val="ab"/>
          <w:jc w:val="center"/>
          <w:rPr>
            <w:rFonts w:ascii="Times New Roman" w:hAnsi="Times New Roman" w:cs="Times New Roman"/>
            <w:sz w:val="24"/>
          </w:rPr>
        </w:pPr>
        <w:r w:rsidRPr="003E0344">
          <w:rPr>
            <w:rFonts w:ascii="Times New Roman" w:hAnsi="Times New Roman" w:cs="Times New Roman"/>
            <w:sz w:val="24"/>
          </w:rPr>
          <w:fldChar w:fldCharType="begin"/>
        </w:r>
        <w:r w:rsidRPr="003E0344">
          <w:rPr>
            <w:rFonts w:ascii="Times New Roman" w:hAnsi="Times New Roman" w:cs="Times New Roman"/>
            <w:sz w:val="24"/>
          </w:rPr>
          <w:instrText xml:space="preserve"> PAGE   \* MERGEFORMAT </w:instrText>
        </w:r>
        <w:r w:rsidRPr="003E0344">
          <w:rPr>
            <w:rFonts w:ascii="Times New Roman" w:hAnsi="Times New Roman" w:cs="Times New Roman"/>
            <w:sz w:val="24"/>
          </w:rPr>
          <w:fldChar w:fldCharType="separate"/>
        </w:r>
        <w:r w:rsidR="00D63A60">
          <w:rPr>
            <w:rFonts w:ascii="Times New Roman" w:hAnsi="Times New Roman" w:cs="Times New Roman"/>
            <w:noProof/>
            <w:sz w:val="24"/>
          </w:rPr>
          <w:t>1</w:t>
        </w:r>
        <w:r w:rsidRPr="003E0344">
          <w:rPr>
            <w:rFonts w:ascii="Times New Roman" w:hAnsi="Times New Roman" w:cs="Times New Roman"/>
            <w:noProof/>
            <w:sz w:val="24"/>
          </w:rPr>
          <w:fldChar w:fldCharType="end"/>
        </w:r>
      </w:p>
    </w:sdtContent>
  </w:sdt>
  <w:p w:rsidR="006A1F3B" w:rsidRDefault="006A1F3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7277" w:rsidRDefault="004C7277" w:rsidP="003E0344">
      <w:pPr>
        <w:spacing w:after="0" w:line="240" w:lineRule="auto"/>
      </w:pPr>
      <w:r>
        <w:separator/>
      </w:r>
    </w:p>
  </w:footnote>
  <w:footnote w:type="continuationSeparator" w:id="0">
    <w:p w:rsidR="004C7277" w:rsidRDefault="004C7277" w:rsidP="003E03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B7060"/>
    <w:multiLevelType w:val="hybridMultilevel"/>
    <w:tmpl w:val="C1EC2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35C4"/>
    <w:rsid w:val="00002DA4"/>
    <w:rsid w:val="00004A34"/>
    <w:rsid w:val="0001055B"/>
    <w:rsid w:val="00011630"/>
    <w:rsid w:val="00011CB7"/>
    <w:rsid w:val="00016D34"/>
    <w:rsid w:val="00016E30"/>
    <w:rsid w:val="0002452A"/>
    <w:rsid w:val="0004397E"/>
    <w:rsid w:val="00044A61"/>
    <w:rsid w:val="000747BA"/>
    <w:rsid w:val="00082852"/>
    <w:rsid w:val="000870E9"/>
    <w:rsid w:val="000A73AD"/>
    <w:rsid w:val="000B4473"/>
    <w:rsid w:val="000C7560"/>
    <w:rsid w:val="000D55B8"/>
    <w:rsid w:val="000E2444"/>
    <w:rsid w:val="00104AC2"/>
    <w:rsid w:val="001121C0"/>
    <w:rsid w:val="00123181"/>
    <w:rsid w:val="00134835"/>
    <w:rsid w:val="00142AC4"/>
    <w:rsid w:val="0015383D"/>
    <w:rsid w:val="00156D6A"/>
    <w:rsid w:val="00184522"/>
    <w:rsid w:val="00191289"/>
    <w:rsid w:val="001B71EE"/>
    <w:rsid w:val="001C3F51"/>
    <w:rsid w:val="001C4AF7"/>
    <w:rsid w:val="001E3070"/>
    <w:rsid w:val="00227239"/>
    <w:rsid w:val="00243603"/>
    <w:rsid w:val="002516D8"/>
    <w:rsid w:val="00260216"/>
    <w:rsid w:val="00265BDF"/>
    <w:rsid w:val="0029415F"/>
    <w:rsid w:val="002A3BC5"/>
    <w:rsid w:val="002C7294"/>
    <w:rsid w:val="002D1A15"/>
    <w:rsid w:val="002D343E"/>
    <w:rsid w:val="002D3EFE"/>
    <w:rsid w:val="002D4A95"/>
    <w:rsid w:val="002D5EAB"/>
    <w:rsid w:val="002E633A"/>
    <w:rsid w:val="002F12E1"/>
    <w:rsid w:val="003123A7"/>
    <w:rsid w:val="003126DF"/>
    <w:rsid w:val="00321314"/>
    <w:rsid w:val="00333A17"/>
    <w:rsid w:val="003504D5"/>
    <w:rsid w:val="0036453C"/>
    <w:rsid w:val="00377303"/>
    <w:rsid w:val="0038587A"/>
    <w:rsid w:val="00392B11"/>
    <w:rsid w:val="003941D9"/>
    <w:rsid w:val="00396587"/>
    <w:rsid w:val="003972D4"/>
    <w:rsid w:val="003A6A62"/>
    <w:rsid w:val="003C280E"/>
    <w:rsid w:val="003C57F4"/>
    <w:rsid w:val="003D2F19"/>
    <w:rsid w:val="003E0344"/>
    <w:rsid w:val="003E210E"/>
    <w:rsid w:val="003F705C"/>
    <w:rsid w:val="003F754A"/>
    <w:rsid w:val="004006AD"/>
    <w:rsid w:val="0040668B"/>
    <w:rsid w:val="004102E2"/>
    <w:rsid w:val="00415AA5"/>
    <w:rsid w:val="00416821"/>
    <w:rsid w:val="00423B55"/>
    <w:rsid w:val="0044172F"/>
    <w:rsid w:val="00444F8F"/>
    <w:rsid w:val="004459A8"/>
    <w:rsid w:val="00461EB5"/>
    <w:rsid w:val="00465F9A"/>
    <w:rsid w:val="004735A1"/>
    <w:rsid w:val="00474E8D"/>
    <w:rsid w:val="00477FDB"/>
    <w:rsid w:val="00496071"/>
    <w:rsid w:val="004A0D72"/>
    <w:rsid w:val="004B249D"/>
    <w:rsid w:val="004B28FA"/>
    <w:rsid w:val="004C4A8C"/>
    <w:rsid w:val="004C6C64"/>
    <w:rsid w:val="004C7277"/>
    <w:rsid w:val="004E0486"/>
    <w:rsid w:val="00503267"/>
    <w:rsid w:val="00512D22"/>
    <w:rsid w:val="00524A2B"/>
    <w:rsid w:val="00530758"/>
    <w:rsid w:val="00530D40"/>
    <w:rsid w:val="00537F25"/>
    <w:rsid w:val="005430F5"/>
    <w:rsid w:val="005457F8"/>
    <w:rsid w:val="00547368"/>
    <w:rsid w:val="00547E76"/>
    <w:rsid w:val="00553111"/>
    <w:rsid w:val="005A7564"/>
    <w:rsid w:val="005B3454"/>
    <w:rsid w:val="005B6E2F"/>
    <w:rsid w:val="005D2828"/>
    <w:rsid w:val="005D62D5"/>
    <w:rsid w:val="005E065E"/>
    <w:rsid w:val="005E0F3A"/>
    <w:rsid w:val="005E2C11"/>
    <w:rsid w:val="005E72D0"/>
    <w:rsid w:val="00606938"/>
    <w:rsid w:val="0061225A"/>
    <w:rsid w:val="006163B5"/>
    <w:rsid w:val="00644F75"/>
    <w:rsid w:val="006524C2"/>
    <w:rsid w:val="006636A1"/>
    <w:rsid w:val="006665D7"/>
    <w:rsid w:val="00682E38"/>
    <w:rsid w:val="00686BA9"/>
    <w:rsid w:val="00690A2D"/>
    <w:rsid w:val="0069589F"/>
    <w:rsid w:val="0069714B"/>
    <w:rsid w:val="006A1F3B"/>
    <w:rsid w:val="006A2CEC"/>
    <w:rsid w:val="006A7F69"/>
    <w:rsid w:val="006A7FE5"/>
    <w:rsid w:val="006C13B3"/>
    <w:rsid w:val="006C6B44"/>
    <w:rsid w:val="006D0B2D"/>
    <w:rsid w:val="006D0C0F"/>
    <w:rsid w:val="006D45B5"/>
    <w:rsid w:val="006D4C6A"/>
    <w:rsid w:val="006D6081"/>
    <w:rsid w:val="006E0021"/>
    <w:rsid w:val="006E3A73"/>
    <w:rsid w:val="006E3E5A"/>
    <w:rsid w:val="006E631E"/>
    <w:rsid w:val="0070487F"/>
    <w:rsid w:val="007202C0"/>
    <w:rsid w:val="00724E55"/>
    <w:rsid w:val="00737E6E"/>
    <w:rsid w:val="0074289E"/>
    <w:rsid w:val="0074680E"/>
    <w:rsid w:val="007829B0"/>
    <w:rsid w:val="00794066"/>
    <w:rsid w:val="007A5A0C"/>
    <w:rsid w:val="007D31F1"/>
    <w:rsid w:val="007E2478"/>
    <w:rsid w:val="007E2737"/>
    <w:rsid w:val="007F474A"/>
    <w:rsid w:val="00801C59"/>
    <w:rsid w:val="00806987"/>
    <w:rsid w:val="00812839"/>
    <w:rsid w:val="008134D5"/>
    <w:rsid w:val="00820B89"/>
    <w:rsid w:val="00821A92"/>
    <w:rsid w:val="00830B64"/>
    <w:rsid w:val="00834AB0"/>
    <w:rsid w:val="008424DD"/>
    <w:rsid w:val="008429C6"/>
    <w:rsid w:val="00842D71"/>
    <w:rsid w:val="008444A8"/>
    <w:rsid w:val="008450D6"/>
    <w:rsid w:val="0084725C"/>
    <w:rsid w:val="00852B05"/>
    <w:rsid w:val="00870094"/>
    <w:rsid w:val="008861CC"/>
    <w:rsid w:val="00887767"/>
    <w:rsid w:val="00887C14"/>
    <w:rsid w:val="00896803"/>
    <w:rsid w:val="008A5C02"/>
    <w:rsid w:val="008B6919"/>
    <w:rsid w:val="008C304C"/>
    <w:rsid w:val="008C3C90"/>
    <w:rsid w:val="008D4509"/>
    <w:rsid w:val="008E72E9"/>
    <w:rsid w:val="00913DEA"/>
    <w:rsid w:val="009278E7"/>
    <w:rsid w:val="0093035D"/>
    <w:rsid w:val="00934582"/>
    <w:rsid w:val="0094037B"/>
    <w:rsid w:val="00952635"/>
    <w:rsid w:val="009636E2"/>
    <w:rsid w:val="00972E6A"/>
    <w:rsid w:val="0097677A"/>
    <w:rsid w:val="00981763"/>
    <w:rsid w:val="00994842"/>
    <w:rsid w:val="009C5BB6"/>
    <w:rsid w:val="009C5ED6"/>
    <w:rsid w:val="009D4ABD"/>
    <w:rsid w:val="009E57BB"/>
    <w:rsid w:val="009E7143"/>
    <w:rsid w:val="00A07A11"/>
    <w:rsid w:val="00A22A5A"/>
    <w:rsid w:val="00A24FAE"/>
    <w:rsid w:val="00A40701"/>
    <w:rsid w:val="00A6437F"/>
    <w:rsid w:val="00A736D1"/>
    <w:rsid w:val="00A77E34"/>
    <w:rsid w:val="00A82CE6"/>
    <w:rsid w:val="00A93312"/>
    <w:rsid w:val="00AA096E"/>
    <w:rsid w:val="00AA1CDA"/>
    <w:rsid w:val="00AB521B"/>
    <w:rsid w:val="00AB72D2"/>
    <w:rsid w:val="00AC26D3"/>
    <w:rsid w:val="00AC5099"/>
    <w:rsid w:val="00AE6000"/>
    <w:rsid w:val="00AF6138"/>
    <w:rsid w:val="00B02214"/>
    <w:rsid w:val="00B033F1"/>
    <w:rsid w:val="00B04F15"/>
    <w:rsid w:val="00B11E52"/>
    <w:rsid w:val="00B123EB"/>
    <w:rsid w:val="00B157E5"/>
    <w:rsid w:val="00B46005"/>
    <w:rsid w:val="00B71E04"/>
    <w:rsid w:val="00B72F25"/>
    <w:rsid w:val="00B76EF0"/>
    <w:rsid w:val="00BD25D2"/>
    <w:rsid w:val="00BF000D"/>
    <w:rsid w:val="00C00259"/>
    <w:rsid w:val="00C01DCD"/>
    <w:rsid w:val="00C06495"/>
    <w:rsid w:val="00C25212"/>
    <w:rsid w:val="00C54818"/>
    <w:rsid w:val="00C6514F"/>
    <w:rsid w:val="00C73261"/>
    <w:rsid w:val="00C7339C"/>
    <w:rsid w:val="00C735C4"/>
    <w:rsid w:val="00C8039E"/>
    <w:rsid w:val="00C96BFC"/>
    <w:rsid w:val="00CB6CBE"/>
    <w:rsid w:val="00CB7FCD"/>
    <w:rsid w:val="00CC3336"/>
    <w:rsid w:val="00CC7BF8"/>
    <w:rsid w:val="00CD185C"/>
    <w:rsid w:val="00CD1FB4"/>
    <w:rsid w:val="00CE1DAD"/>
    <w:rsid w:val="00CE401A"/>
    <w:rsid w:val="00CF1EB0"/>
    <w:rsid w:val="00D03202"/>
    <w:rsid w:val="00D14A9E"/>
    <w:rsid w:val="00D1557C"/>
    <w:rsid w:val="00D206B3"/>
    <w:rsid w:val="00D3681A"/>
    <w:rsid w:val="00D434A7"/>
    <w:rsid w:val="00D43999"/>
    <w:rsid w:val="00D63A2C"/>
    <w:rsid w:val="00D63A60"/>
    <w:rsid w:val="00D65543"/>
    <w:rsid w:val="00D6630F"/>
    <w:rsid w:val="00D70F6A"/>
    <w:rsid w:val="00D77C8E"/>
    <w:rsid w:val="00D819BB"/>
    <w:rsid w:val="00DA6BBC"/>
    <w:rsid w:val="00DA6F54"/>
    <w:rsid w:val="00DB0ADE"/>
    <w:rsid w:val="00DC7F50"/>
    <w:rsid w:val="00DF0522"/>
    <w:rsid w:val="00DF4202"/>
    <w:rsid w:val="00E12F2D"/>
    <w:rsid w:val="00E3004D"/>
    <w:rsid w:val="00E34E9C"/>
    <w:rsid w:val="00E50E1B"/>
    <w:rsid w:val="00E51145"/>
    <w:rsid w:val="00E55CE3"/>
    <w:rsid w:val="00E7782E"/>
    <w:rsid w:val="00EA33F3"/>
    <w:rsid w:val="00EA6953"/>
    <w:rsid w:val="00ED41C9"/>
    <w:rsid w:val="00EE2E77"/>
    <w:rsid w:val="00EF6091"/>
    <w:rsid w:val="00EF7AB7"/>
    <w:rsid w:val="00F101C2"/>
    <w:rsid w:val="00F11CE7"/>
    <w:rsid w:val="00F27603"/>
    <w:rsid w:val="00F3371E"/>
    <w:rsid w:val="00F40F08"/>
    <w:rsid w:val="00F41FCE"/>
    <w:rsid w:val="00F46924"/>
    <w:rsid w:val="00F6711A"/>
    <w:rsid w:val="00F72930"/>
    <w:rsid w:val="00F73637"/>
    <w:rsid w:val="00F82821"/>
    <w:rsid w:val="00FA2211"/>
    <w:rsid w:val="00FA6D8D"/>
    <w:rsid w:val="00FB4D20"/>
    <w:rsid w:val="00FC1950"/>
    <w:rsid w:val="00FC5029"/>
    <w:rsid w:val="00FD125C"/>
    <w:rsid w:val="00FE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바탕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31E"/>
    <w:rPr>
      <w:rFonts w:eastAsiaTheme="minorEastAs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E631E"/>
    <w:pPr>
      <w:spacing w:after="0" w:line="240" w:lineRule="auto"/>
    </w:pPr>
    <w:rPr>
      <w:rFonts w:eastAsiaTheme="minorEastAsia"/>
      <w:lang w:eastAsia="zh-CN"/>
    </w:rPr>
  </w:style>
  <w:style w:type="table" w:styleId="a4">
    <w:name w:val="Table Grid"/>
    <w:basedOn w:val="a1"/>
    <w:uiPriority w:val="39"/>
    <w:rsid w:val="006E631E"/>
    <w:pPr>
      <w:spacing w:after="0" w:line="240" w:lineRule="auto"/>
    </w:pPr>
    <w:rPr>
      <w:rFonts w:eastAsiaTheme="minorEastAsia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Light Shading"/>
    <w:basedOn w:val="a1"/>
    <w:uiPriority w:val="60"/>
    <w:rsid w:val="00C0025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a6">
    <w:name w:val="Balloon Text"/>
    <w:basedOn w:val="a"/>
    <w:link w:val="Char"/>
    <w:uiPriority w:val="99"/>
    <w:semiHidden/>
    <w:unhideWhenUsed/>
    <w:rsid w:val="007D31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6"/>
    <w:uiPriority w:val="99"/>
    <w:semiHidden/>
    <w:rsid w:val="007D31F1"/>
    <w:rPr>
      <w:rFonts w:ascii="Tahoma" w:eastAsiaTheme="minorEastAsi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unhideWhenUsed/>
    <w:rsid w:val="006D0B2D"/>
    <w:rPr>
      <w:sz w:val="16"/>
      <w:szCs w:val="16"/>
    </w:rPr>
  </w:style>
  <w:style w:type="paragraph" w:styleId="a8">
    <w:name w:val="annotation text"/>
    <w:basedOn w:val="a"/>
    <w:link w:val="Char0"/>
    <w:uiPriority w:val="99"/>
    <w:semiHidden/>
    <w:unhideWhenUsed/>
    <w:rsid w:val="006D0B2D"/>
    <w:pPr>
      <w:spacing w:line="240" w:lineRule="auto"/>
    </w:pPr>
    <w:rPr>
      <w:sz w:val="20"/>
      <w:szCs w:val="20"/>
    </w:rPr>
  </w:style>
  <w:style w:type="character" w:customStyle="1" w:styleId="Char0">
    <w:name w:val="메모 텍스트 Char"/>
    <w:basedOn w:val="a0"/>
    <w:link w:val="a8"/>
    <w:uiPriority w:val="99"/>
    <w:semiHidden/>
    <w:rsid w:val="006D0B2D"/>
    <w:rPr>
      <w:rFonts w:eastAsiaTheme="minorEastAsia"/>
      <w:sz w:val="20"/>
      <w:szCs w:val="20"/>
    </w:rPr>
  </w:style>
  <w:style w:type="paragraph" w:styleId="a9">
    <w:name w:val="annotation subject"/>
    <w:basedOn w:val="a8"/>
    <w:next w:val="a8"/>
    <w:link w:val="Char1"/>
    <w:uiPriority w:val="99"/>
    <w:semiHidden/>
    <w:unhideWhenUsed/>
    <w:rsid w:val="006D0B2D"/>
    <w:rPr>
      <w:b/>
      <w:bCs/>
    </w:rPr>
  </w:style>
  <w:style w:type="character" w:customStyle="1" w:styleId="Char1">
    <w:name w:val="메모 주제 Char"/>
    <w:basedOn w:val="Char0"/>
    <w:link w:val="a9"/>
    <w:uiPriority w:val="99"/>
    <w:semiHidden/>
    <w:rsid w:val="006D0B2D"/>
    <w:rPr>
      <w:rFonts w:eastAsiaTheme="minorEastAsia"/>
      <w:b/>
      <w:bCs/>
      <w:sz w:val="20"/>
      <w:szCs w:val="20"/>
    </w:rPr>
  </w:style>
  <w:style w:type="table" w:styleId="-1">
    <w:name w:val="Light Shading Accent 1"/>
    <w:basedOn w:val="a1"/>
    <w:uiPriority w:val="60"/>
    <w:rsid w:val="00156D6A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aa">
    <w:name w:val="header"/>
    <w:basedOn w:val="a"/>
    <w:link w:val="Char2"/>
    <w:uiPriority w:val="99"/>
    <w:unhideWhenUsed/>
    <w:rsid w:val="003E03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2">
    <w:name w:val="머리글 Char"/>
    <w:basedOn w:val="a0"/>
    <w:link w:val="aa"/>
    <w:uiPriority w:val="99"/>
    <w:rsid w:val="003E0344"/>
    <w:rPr>
      <w:rFonts w:eastAsiaTheme="minorEastAsia"/>
    </w:rPr>
  </w:style>
  <w:style w:type="paragraph" w:styleId="ab">
    <w:name w:val="footer"/>
    <w:basedOn w:val="a"/>
    <w:link w:val="Char3"/>
    <w:uiPriority w:val="99"/>
    <w:unhideWhenUsed/>
    <w:rsid w:val="003E03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3">
    <w:name w:val="바닥글 Char"/>
    <w:basedOn w:val="a0"/>
    <w:link w:val="ab"/>
    <w:uiPriority w:val="99"/>
    <w:rsid w:val="003E0344"/>
    <w:rPr>
      <w:rFonts w:eastAsiaTheme="minorEastAsia"/>
    </w:rPr>
  </w:style>
  <w:style w:type="paragraph" w:styleId="ac">
    <w:name w:val="List Paragraph"/>
    <w:basedOn w:val="a"/>
    <w:uiPriority w:val="34"/>
    <w:qFormat/>
    <w:rsid w:val="00044A6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바탕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31E"/>
    <w:rPr>
      <w:rFonts w:eastAsiaTheme="minorEastAs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E631E"/>
    <w:pPr>
      <w:spacing w:after="0" w:line="240" w:lineRule="auto"/>
    </w:pPr>
    <w:rPr>
      <w:rFonts w:eastAsiaTheme="minorEastAsia"/>
      <w:lang w:eastAsia="zh-CN"/>
    </w:rPr>
  </w:style>
  <w:style w:type="table" w:styleId="a4">
    <w:name w:val="Table Grid"/>
    <w:basedOn w:val="a1"/>
    <w:uiPriority w:val="39"/>
    <w:rsid w:val="006E631E"/>
    <w:pPr>
      <w:spacing w:after="0" w:line="240" w:lineRule="auto"/>
    </w:pPr>
    <w:rPr>
      <w:rFonts w:eastAsiaTheme="minorEastAsia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Light Shading"/>
    <w:basedOn w:val="a1"/>
    <w:uiPriority w:val="60"/>
    <w:rsid w:val="00C0025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a6">
    <w:name w:val="Balloon Text"/>
    <w:basedOn w:val="a"/>
    <w:link w:val="Char"/>
    <w:uiPriority w:val="99"/>
    <w:semiHidden/>
    <w:unhideWhenUsed/>
    <w:rsid w:val="007D31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6"/>
    <w:uiPriority w:val="99"/>
    <w:semiHidden/>
    <w:rsid w:val="007D31F1"/>
    <w:rPr>
      <w:rFonts w:ascii="Tahoma" w:eastAsiaTheme="minorEastAsi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unhideWhenUsed/>
    <w:rsid w:val="006D0B2D"/>
    <w:rPr>
      <w:sz w:val="16"/>
      <w:szCs w:val="16"/>
    </w:rPr>
  </w:style>
  <w:style w:type="paragraph" w:styleId="a8">
    <w:name w:val="annotation text"/>
    <w:basedOn w:val="a"/>
    <w:link w:val="Char0"/>
    <w:uiPriority w:val="99"/>
    <w:semiHidden/>
    <w:unhideWhenUsed/>
    <w:rsid w:val="006D0B2D"/>
    <w:pPr>
      <w:spacing w:line="240" w:lineRule="auto"/>
    </w:pPr>
    <w:rPr>
      <w:sz w:val="20"/>
      <w:szCs w:val="20"/>
    </w:rPr>
  </w:style>
  <w:style w:type="character" w:customStyle="1" w:styleId="Char0">
    <w:name w:val="메모 텍스트 Char"/>
    <w:basedOn w:val="a0"/>
    <w:link w:val="a8"/>
    <w:uiPriority w:val="99"/>
    <w:semiHidden/>
    <w:rsid w:val="006D0B2D"/>
    <w:rPr>
      <w:rFonts w:eastAsiaTheme="minorEastAsia"/>
      <w:sz w:val="20"/>
      <w:szCs w:val="20"/>
    </w:rPr>
  </w:style>
  <w:style w:type="paragraph" w:styleId="a9">
    <w:name w:val="annotation subject"/>
    <w:basedOn w:val="a8"/>
    <w:next w:val="a8"/>
    <w:link w:val="Char1"/>
    <w:uiPriority w:val="99"/>
    <w:semiHidden/>
    <w:unhideWhenUsed/>
    <w:rsid w:val="006D0B2D"/>
    <w:rPr>
      <w:b/>
      <w:bCs/>
    </w:rPr>
  </w:style>
  <w:style w:type="character" w:customStyle="1" w:styleId="Char1">
    <w:name w:val="메모 주제 Char"/>
    <w:basedOn w:val="Char0"/>
    <w:link w:val="a9"/>
    <w:uiPriority w:val="99"/>
    <w:semiHidden/>
    <w:rsid w:val="006D0B2D"/>
    <w:rPr>
      <w:rFonts w:eastAsiaTheme="minorEastAsia"/>
      <w:b/>
      <w:bCs/>
      <w:sz w:val="20"/>
      <w:szCs w:val="20"/>
    </w:rPr>
  </w:style>
  <w:style w:type="table" w:styleId="-1">
    <w:name w:val="Light Shading Accent 1"/>
    <w:basedOn w:val="a1"/>
    <w:uiPriority w:val="60"/>
    <w:rsid w:val="00156D6A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aa">
    <w:name w:val="header"/>
    <w:basedOn w:val="a"/>
    <w:link w:val="Char2"/>
    <w:uiPriority w:val="99"/>
    <w:unhideWhenUsed/>
    <w:rsid w:val="003E03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2">
    <w:name w:val="머리글 Char"/>
    <w:basedOn w:val="a0"/>
    <w:link w:val="aa"/>
    <w:uiPriority w:val="99"/>
    <w:rsid w:val="003E0344"/>
    <w:rPr>
      <w:rFonts w:eastAsiaTheme="minorEastAsia"/>
    </w:rPr>
  </w:style>
  <w:style w:type="paragraph" w:styleId="ab">
    <w:name w:val="footer"/>
    <w:basedOn w:val="a"/>
    <w:link w:val="Char3"/>
    <w:uiPriority w:val="99"/>
    <w:unhideWhenUsed/>
    <w:rsid w:val="003E03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3">
    <w:name w:val="바닥글 Char"/>
    <w:basedOn w:val="a0"/>
    <w:link w:val="ab"/>
    <w:uiPriority w:val="99"/>
    <w:rsid w:val="003E0344"/>
    <w:rPr>
      <w:rFonts w:eastAsiaTheme="minorEastAsia"/>
    </w:rPr>
  </w:style>
  <w:style w:type="paragraph" w:styleId="ac">
    <w:name w:val="List Paragraph"/>
    <w:basedOn w:val="a"/>
    <w:uiPriority w:val="34"/>
    <w:qFormat/>
    <w:rsid w:val="00044A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9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6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4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9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24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63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0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1.ti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M130771\Dropbox\Bear\Current%20projects\CABANA\Results\residual%20confounding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ko-K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tx>
            <c:v>5</c:v>
          </c:tx>
          <c:marker>
            <c:symbol val="none"/>
          </c:marker>
          <c:cat>
            <c:numRef>
              <c:f>Sheet3!$A$2:$A$102</c:f>
              <c:numCache>
                <c:formatCode>General</c:formatCode>
                <c:ptCount val="10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  <c:pt idx="64">
                  <c:v>64</c:v>
                </c:pt>
                <c:pt idx="65">
                  <c:v>65</c:v>
                </c:pt>
                <c:pt idx="66">
                  <c:v>66</c:v>
                </c:pt>
                <c:pt idx="67">
                  <c:v>67</c:v>
                </c:pt>
                <c:pt idx="68">
                  <c:v>68</c:v>
                </c:pt>
                <c:pt idx="69">
                  <c:v>69</c:v>
                </c:pt>
                <c:pt idx="70">
                  <c:v>70</c:v>
                </c:pt>
                <c:pt idx="71">
                  <c:v>71</c:v>
                </c:pt>
                <c:pt idx="72">
                  <c:v>72</c:v>
                </c:pt>
                <c:pt idx="73">
                  <c:v>73</c:v>
                </c:pt>
                <c:pt idx="74">
                  <c:v>74</c:v>
                </c:pt>
                <c:pt idx="75">
                  <c:v>75</c:v>
                </c:pt>
                <c:pt idx="76">
                  <c:v>76</c:v>
                </c:pt>
                <c:pt idx="77">
                  <c:v>77</c:v>
                </c:pt>
                <c:pt idx="78">
                  <c:v>78</c:v>
                </c:pt>
                <c:pt idx="79">
                  <c:v>79</c:v>
                </c:pt>
                <c:pt idx="80">
                  <c:v>80</c:v>
                </c:pt>
                <c:pt idx="81">
                  <c:v>81</c:v>
                </c:pt>
                <c:pt idx="82">
                  <c:v>82</c:v>
                </c:pt>
                <c:pt idx="83">
                  <c:v>83</c:v>
                </c:pt>
                <c:pt idx="84">
                  <c:v>84</c:v>
                </c:pt>
                <c:pt idx="85">
                  <c:v>85</c:v>
                </c:pt>
                <c:pt idx="86">
                  <c:v>86</c:v>
                </c:pt>
                <c:pt idx="87">
                  <c:v>87</c:v>
                </c:pt>
                <c:pt idx="88">
                  <c:v>88</c:v>
                </c:pt>
                <c:pt idx="89">
                  <c:v>89</c:v>
                </c:pt>
                <c:pt idx="90">
                  <c:v>90</c:v>
                </c:pt>
                <c:pt idx="91">
                  <c:v>91</c:v>
                </c:pt>
                <c:pt idx="92">
                  <c:v>92</c:v>
                </c:pt>
                <c:pt idx="93">
                  <c:v>93</c:v>
                </c:pt>
                <c:pt idx="94">
                  <c:v>94</c:v>
                </c:pt>
                <c:pt idx="95">
                  <c:v>95</c:v>
                </c:pt>
                <c:pt idx="96">
                  <c:v>96</c:v>
                </c:pt>
                <c:pt idx="97">
                  <c:v>97</c:v>
                </c:pt>
                <c:pt idx="98">
                  <c:v>98</c:v>
                </c:pt>
                <c:pt idx="99">
                  <c:v>99</c:v>
                </c:pt>
                <c:pt idx="100">
                  <c:v>100</c:v>
                </c:pt>
              </c:numCache>
            </c:numRef>
          </c:cat>
          <c:val>
            <c:numRef>
              <c:f>Sheet3!$C$2:$C$102</c:f>
              <c:numCache>
                <c:formatCode>General</c:formatCode>
                <c:ptCount val="101"/>
                <c:pt idx="9">
                  <c:v>24.076923076923077</c:v>
                </c:pt>
                <c:pt idx="10">
                  <c:v>16.000000000000007</c:v>
                </c:pt>
                <c:pt idx="11">
                  <c:v>12.111111111111111</c:v>
                </c:pt>
                <c:pt idx="12">
                  <c:v>9.8235294117647083</c:v>
                </c:pt>
                <c:pt idx="13">
                  <c:v>8.3170731707317085</c:v>
                </c:pt>
                <c:pt idx="14">
                  <c:v>7.2499999999999991</c:v>
                </c:pt>
                <c:pt idx="15">
                  <c:v>6.454545454545455</c:v>
                </c:pt>
                <c:pt idx="16">
                  <c:v>5.8387096774193559</c:v>
                </c:pt>
                <c:pt idx="17">
                  <c:v>5.3478260869565224</c:v>
                </c:pt>
                <c:pt idx="18">
                  <c:v>4.9473684210526319</c:v>
                </c:pt>
                <c:pt idx="19">
                  <c:v>4.6144578313253026</c:v>
                </c:pt>
                <c:pt idx="20">
                  <c:v>4.3333333333333339</c:v>
                </c:pt>
                <c:pt idx="21">
                  <c:v>4.0927835051546397</c:v>
                </c:pt>
                <c:pt idx="22">
                  <c:v>3.884615384615385</c:v>
                </c:pt>
                <c:pt idx="23">
                  <c:v>3.7027027027027031</c:v>
                </c:pt>
                <c:pt idx="24">
                  <c:v>3.542372881355933</c:v>
                </c:pt>
                <c:pt idx="25">
                  <c:v>3.4000000000000008</c:v>
                </c:pt>
                <c:pt idx="26">
                  <c:v>3.272727272727272</c:v>
                </c:pt>
                <c:pt idx="27">
                  <c:v>3.1582733812949635</c:v>
                </c:pt>
                <c:pt idx="28">
                  <c:v>3.0547945205479445</c:v>
                </c:pt>
                <c:pt idx="29">
                  <c:v>2.9607843137254908</c:v>
                </c:pt>
                <c:pt idx="30">
                  <c:v>2.8750000000000004</c:v>
                </c:pt>
                <c:pt idx="31">
                  <c:v>2.7964071856287429</c:v>
                </c:pt>
                <c:pt idx="32">
                  <c:v>2.7241379310344831</c:v>
                </c:pt>
                <c:pt idx="33">
                  <c:v>2.6574585635359118</c:v>
                </c:pt>
                <c:pt idx="34">
                  <c:v>2.5957446808510642</c:v>
                </c:pt>
                <c:pt idx="35">
                  <c:v>2.5384615384615392</c:v>
                </c:pt>
                <c:pt idx="36">
                  <c:v>2.4851485148514851</c:v>
                </c:pt>
                <c:pt idx="37">
                  <c:v>2.4354066985645932</c:v>
                </c:pt>
                <c:pt idx="38">
                  <c:v>2.3888888888888893</c:v>
                </c:pt>
                <c:pt idx="39">
                  <c:v>2.3452914798206277</c:v>
                </c:pt>
                <c:pt idx="40">
                  <c:v>2.304347826086957</c:v>
                </c:pt>
                <c:pt idx="41">
                  <c:v>2.2658227848101262</c:v>
                </c:pt>
                <c:pt idx="42">
                  <c:v>2.2295081967213113</c:v>
                </c:pt>
                <c:pt idx="43">
                  <c:v>2.1952191235059759</c:v>
                </c:pt>
                <c:pt idx="44">
                  <c:v>2.1627906976744184</c:v>
                </c:pt>
                <c:pt idx="45">
                  <c:v>2.132075471698113</c:v>
                </c:pt>
                <c:pt idx="46">
                  <c:v>2.1029411764705879</c:v>
                </c:pt>
                <c:pt idx="47">
                  <c:v>2.075268817204301</c:v>
                </c:pt>
                <c:pt idx="48">
                  <c:v>2.0489510489510492</c:v>
                </c:pt>
                <c:pt idx="49">
                  <c:v>2.0238907849829353</c:v>
                </c:pt>
                <c:pt idx="50">
                  <c:v>2</c:v>
                </c:pt>
                <c:pt idx="51">
                  <c:v>1.9771986970684039</c:v>
                </c:pt>
                <c:pt idx="52">
                  <c:v>1.9554140127388535</c:v>
                </c:pt>
                <c:pt idx="53">
                  <c:v>1.9345794392523363</c:v>
                </c:pt>
                <c:pt idx="54">
                  <c:v>1.9146341463414633</c:v>
                </c:pt>
                <c:pt idx="55">
                  <c:v>1.8955223880597014</c:v>
                </c:pt>
                <c:pt idx="56">
                  <c:v>1.8771929824561402</c:v>
                </c:pt>
                <c:pt idx="57">
                  <c:v>1.8595988538681951</c:v>
                </c:pt>
                <c:pt idx="58">
                  <c:v>1.842696629213483</c:v>
                </c:pt>
                <c:pt idx="59">
                  <c:v>1.8264462809917357</c:v>
                </c:pt>
                <c:pt idx="60">
                  <c:v>1.8108108108108107</c:v>
                </c:pt>
                <c:pt idx="61">
                  <c:v>1.7957559681697615</c:v>
                </c:pt>
                <c:pt idx="62">
                  <c:v>1.7812499999999998</c:v>
                </c:pt>
                <c:pt idx="63">
                  <c:v>1.7672634271099745</c:v>
                </c:pt>
                <c:pt idx="64">
                  <c:v>1.7537688442211055</c:v>
                </c:pt>
                <c:pt idx="65">
                  <c:v>1.7407407407407407</c:v>
                </c:pt>
                <c:pt idx="66">
                  <c:v>1.7281553398058254</c:v>
                </c:pt>
                <c:pt idx="67">
                  <c:v>1.7159904534606205</c:v>
                </c:pt>
                <c:pt idx="68">
                  <c:v>1.704225352112676</c:v>
                </c:pt>
                <c:pt idx="69">
                  <c:v>1.6928406466512702</c:v>
                </c:pt>
                <c:pt idx="70">
                  <c:v>1.6818181818181821</c:v>
                </c:pt>
                <c:pt idx="71">
                  <c:v>1.6711409395973154</c:v>
                </c:pt>
                <c:pt idx="72">
                  <c:v>1.6607929515418491</c:v>
                </c:pt>
                <c:pt idx="73">
                  <c:v>1.6507592190889362</c:v>
                </c:pt>
                <c:pt idx="74">
                  <c:v>1.6410256410256401</c:v>
                </c:pt>
                <c:pt idx="75">
                  <c:v>1.6315789473684201</c:v>
                </c:pt>
                <c:pt idx="76">
                  <c:v>1.6224066390041485</c:v>
                </c:pt>
                <c:pt idx="77">
                  <c:v>1.6134969325153365</c:v>
                </c:pt>
                <c:pt idx="78">
                  <c:v>1.6048387096774184</c:v>
                </c:pt>
                <c:pt idx="79">
                  <c:v>1.5964214711729616</c:v>
                </c:pt>
                <c:pt idx="80">
                  <c:v>1.5882352941176463</c:v>
                </c:pt>
                <c:pt idx="81">
                  <c:v>1.5802707930367499</c:v>
                </c:pt>
                <c:pt idx="82">
                  <c:v>1.5725190839694652</c:v>
                </c:pt>
                <c:pt idx="83">
                  <c:v>1.5649717514124288</c:v>
                </c:pt>
                <c:pt idx="84">
                  <c:v>1.5576208178438657</c:v>
                </c:pt>
                <c:pt idx="85">
                  <c:v>1.5504587155963299</c:v>
                </c:pt>
                <c:pt idx="86">
                  <c:v>1.5434782608695647</c:v>
                </c:pt>
                <c:pt idx="87">
                  <c:v>1.536672629695885</c:v>
                </c:pt>
                <c:pt idx="88">
                  <c:v>1.5300353356890455</c:v>
                </c:pt>
                <c:pt idx="89">
                  <c:v>1.5235602094240832</c:v>
                </c:pt>
                <c:pt idx="90">
                  <c:v>1.5172413793103443</c:v>
                </c:pt>
                <c:pt idx="91">
                  <c:v>1.5110732538330489</c:v>
                </c:pt>
                <c:pt idx="92">
                  <c:v>1.5050505050505045</c:v>
                </c:pt>
                <c:pt idx="93">
                  <c:v>1.4991680532445919</c:v>
                </c:pt>
                <c:pt idx="94">
                  <c:v>1.4934210526315785</c:v>
                </c:pt>
                <c:pt idx="95">
                  <c:v>1.48780487804878</c:v>
                </c:pt>
                <c:pt idx="96">
                  <c:v>1.4823151125401925</c:v>
                </c:pt>
                <c:pt idx="97">
                  <c:v>1.4769475357710649</c:v>
                </c:pt>
                <c:pt idx="98">
                  <c:v>1.4716981132075468</c:v>
                </c:pt>
                <c:pt idx="99">
                  <c:v>1.46656298600311</c:v>
                </c:pt>
                <c:pt idx="100">
                  <c:v>1.4615384615384617</c:v>
                </c:pt>
              </c:numCache>
            </c:numRef>
          </c:val>
          <c:smooth val="0"/>
        </c:ser>
        <c:ser>
          <c:idx val="1"/>
          <c:order val="1"/>
          <c:tx>
            <c:v>10</c:v>
          </c:tx>
          <c:marker>
            <c:symbol val="none"/>
          </c:marker>
          <c:cat>
            <c:numRef>
              <c:f>Sheet3!$A$2:$A$102</c:f>
              <c:numCache>
                <c:formatCode>General</c:formatCode>
                <c:ptCount val="10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  <c:pt idx="64">
                  <c:v>64</c:v>
                </c:pt>
                <c:pt idx="65">
                  <c:v>65</c:v>
                </c:pt>
                <c:pt idx="66">
                  <c:v>66</c:v>
                </c:pt>
                <c:pt idx="67">
                  <c:v>67</c:v>
                </c:pt>
                <c:pt idx="68">
                  <c:v>68</c:v>
                </c:pt>
                <c:pt idx="69">
                  <c:v>69</c:v>
                </c:pt>
                <c:pt idx="70">
                  <c:v>70</c:v>
                </c:pt>
                <c:pt idx="71">
                  <c:v>71</c:v>
                </c:pt>
                <c:pt idx="72">
                  <c:v>72</c:v>
                </c:pt>
                <c:pt idx="73">
                  <c:v>73</c:v>
                </c:pt>
                <c:pt idx="74">
                  <c:v>74</c:v>
                </c:pt>
                <c:pt idx="75">
                  <c:v>75</c:v>
                </c:pt>
                <c:pt idx="76">
                  <c:v>76</c:v>
                </c:pt>
                <c:pt idx="77">
                  <c:v>77</c:v>
                </c:pt>
                <c:pt idx="78">
                  <c:v>78</c:v>
                </c:pt>
                <c:pt idx="79">
                  <c:v>79</c:v>
                </c:pt>
                <c:pt idx="80">
                  <c:v>80</c:v>
                </c:pt>
                <c:pt idx="81">
                  <c:v>81</c:v>
                </c:pt>
                <c:pt idx="82">
                  <c:v>82</c:v>
                </c:pt>
                <c:pt idx="83">
                  <c:v>83</c:v>
                </c:pt>
                <c:pt idx="84">
                  <c:v>84</c:v>
                </c:pt>
                <c:pt idx="85">
                  <c:v>85</c:v>
                </c:pt>
                <c:pt idx="86">
                  <c:v>86</c:v>
                </c:pt>
                <c:pt idx="87">
                  <c:v>87</c:v>
                </c:pt>
                <c:pt idx="88">
                  <c:v>88</c:v>
                </c:pt>
                <c:pt idx="89">
                  <c:v>89</c:v>
                </c:pt>
                <c:pt idx="90">
                  <c:v>90</c:v>
                </c:pt>
                <c:pt idx="91">
                  <c:v>91</c:v>
                </c:pt>
                <c:pt idx="92">
                  <c:v>92</c:v>
                </c:pt>
                <c:pt idx="93">
                  <c:v>93</c:v>
                </c:pt>
                <c:pt idx="94">
                  <c:v>94</c:v>
                </c:pt>
                <c:pt idx="95">
                  <c:v>95</c:v>
                </c:pt>
                <c:pt idx="96">
                  <c:v>96</c:v>
                </c:pt>
                <c:pt idx="97">
                  <c:v>97</c:v>
                </c:pt>
                <c:pt idx="98">
                  <c:v>98</c:v>
                </c:pt>
                <c:pt idx="99">
                  <c:v>99</c:v>
                </c:pt>
                <c:pt idx="100">
                  <c:v>100</c:v>
                </c:pt>
              </c:numCache>
            </c:numRef>
          </c:cat>
          <c:val>
            <c:numRef>
              <c:f>Sheet3!$D$2:$D$102</c:f>
              <c:numCache>
                <c:formatCode>General</c:formatCode>
                <c:ptCount val="101"/>
                <c:pt idx="15">
                  <c:v>61.000000000000128</c:v>
                </c:pt>
                <c:pt idx="16">
                  <c:v>26.000000000000043</c:v>
                </c:pt>
                <c:pt idx="17">
                  <c:v>16.789473684210538</c:v>
                </c:pt>
                <c:pt idx="18">
                  <c:v>12.538461538461544</c:v>
                </c:pt>
                <c:pt idx="19">
                  <c:v>10.090909090909101</c:v>
                </c:pt>
                <c:pt idx="20">
                  <c:v>8.5000000000000071</c:v>
                </c:pt>
                <c:pt idx="21">
                  <c:v>7.3829787234042596</c:v>
                </c:pt>
                <c:pt idx="22">
                  <c:v>6.555555555555558</c:v>
                </c:pt>
                <c:pt idx="23">
                  <c:v>5.9180327868852478</c:v>
                </c:pt>
                <c:pt idx="24">
                  <c:v>5.4117647058823559</c:v>
                </c:pt>
                <c:pt idx="25">
                  <c:v>5.0000000000000027</c:v>
                </c:pt>
                <c:pt idx="26">
                  <c:v>4.6585365853658542</c:v>
                </c:pt>
                <c:pt idx="27">
                  <c:v>4.3707865168539328</c:v>
                </c:pt>
                <c:pt idx="28">
                  <c:v>4.125</c:v>
                </c:pt>
                <c:pt idx="29">
                  <c:v>3.9126213592233023</c:v>
                </c:pt>
                <c:pt idx="30">
                  <c:v>3.7272727272727284</c:v>
                </c:pt>
                <c:pt idx="31">
                  <c:v>3.5641025641025652</c:v>
                </c:pt>
                <c:pt idx="32">
                  <c:v>3.4193548387096788</c:v>
                </c:pt>
                <c:pt idx="33">
                  <c:v>3.2900763358778637</c:v>
                </c:pt>
                <c:pt idx="34">
                  <c:v>3.1739130434782621</c:v>
                </c:pt>
                <c:pt idx="35">
                  <c:v>3.0689655172413803</c:v>
                </c:pt>
                <c:pt idx="36">
                  <c:v>2.9736842105263164</c:v>
                </c:pt>
                <c:pt idx="37">
                  <c:v>2.8867924528301891</c:v>
                </c:pt>
                <c:pt idx="38">
                  <c:v>2.8072289156626518</c:v>
                </c:pt>
                <c:pt idx="39">
                  <c:v>2.7341040462427753</c:v>
                </c:pt>
                <c:pt idx="40">
                  <c:v>2.6666666666666674</c:v>
                </c:pt>
                <c:pt idx="41">
                  <c:v>2.6042780748663104</c:v>
                </c:pt>
                <c:pt idx="42">
                  <c:v>2.5463917525773199</c:v>
                </c:pt>
                <c:pt idx="43">
                  <c:v>2.4925373134328361</c:v>
                </c:pt>
                <c:pt idx="44">
                  <c:v>2.4423076923076925</c:v>
                </c:pt>
                <c:pt idx="45">
                  <c:v>2.3953488372093026</c:v>
                </c:pt>
                <c:pt idx="46">
                  <c:v>2.3513513513513513</c:v>
                </c:pt>
                <c:pt idx="47">
                  <c:v>2.3100436681222711</c:v>
                </c:pt>
                <c:pt idx="48">
                  <c:v>2.2711864406779667</c:v>
                </c:pt>
                <c:pt idx="49">
                  <c:v>2.2345679012345685</c:v>
                </c:pt>
                <c:pt idx="50">
                  <c:v>2.2000000000000006</c:v>
                </c:pt>
                <c:pt idx="51">
                  <c:v>2.1673151750972766</c:v>
                </c:pt>
                <c:pt idx="52">
                  <c:v>2.1363636363636367</c:v>
                </c:pt>
                <c:pt idx="53">
                  <c:v>2.1070110701107012</c:v>
                </c:pt>
                <c:pt idx="54">
                  <c:v>2.079136690647482</c:v>
                </c:pt>
                <c:pt idx="55">
                  <c:v>2.0526315789473686</c:v>
                </c:pt>
                <c:pt idx="56">
                  <c:v>2.0273972602739727</c:v>
                </c:pt>
                <c:pt idx="57">
                  <c:v>2.0033444816053514</c:v>
                </c:pt>
                <c:pt idx="58">
                  <c:v>1.9803921568627458</c:v>
                </c:pt>
                <c:pt idx="59">
                  <c:v>1.9584664536741216</c:v>
                </c:pt>
                <c:pt idx="60">
                  <c:v>1.9375000000000007</c:v>
                </c:pt>
                <c:pt idx="61">
                  <c:v>1.9174311926605507</c:v>
                </c:pt>
                <c:pt idx="62">
                  <c:v>1.8982035928143719</c:v>
                </c:pt>
                <c:pt idx="63">
                  <c:v>1.8797653958944283</c:v>
                </c:pt>
                <c:pt idx="64">
                  <c:v>1.8620689655172415</c:v>
                </c:pt>
                <c:pt idx="65">
                  <c:v>1.8450704225352115</c:v>
                </c:pt>
                <c:pt idx="66">
                  <c:v>1.8287292817679559</c:v>
                </c:pt>
                <c:pt idx="67">
                  <c:v>1.813008130081301</c:v>
                </c:pt>
                <c:pt idx="68">
                  <c:v>1.7978723404255321</c:v>
                </c:pt>
                <c:pt idx="69">
                  <c:v>1.7832898172323766</c:v>
                </c:pt>
                <c:pt idx="70">
                  <c:v>1.7692307692307696</c:v>
                </c:pt>
                <c:pt idx="71">
                  <c:v>1.7556675062972298</c:v>
                </c:pt>
                <c:pt idx="72">
                  <c:v>1.7425742574257415</c:v>
                </c:pt>
                <c:pt idx="73">
                  <c:v>1.729927007299269</c:v>
                </c:pt>
                <c:pt idx="74">
                  <c:v>1.7177033492822955</c:v>
                </c:pt>
                <c:pt idx="75">
                  <c:v>1.7058823529411753</c:v>
                </c:pt>
                <c:pt idx="76">
                  <c:v>1.6944444444444433</c:v>
                </c:pt>
                <c:pt idx="77">
                  <c:v>1.6833712984054658</c:v>
                </c:pt>
                <c:pt idx="78">
                  <c:v>1.672645739910313</c:v>
                </c:pt>
                <c:pt idx="79">
                  <c:v>1.662251655629138</c:v>
                </c:pt>
                <c:pt idx="80">
                  <c:v>1.6521739130434774</c:v>
                </c:pt>
                <c:pt idx="81">
                  <c:v>1.6423982869379006</c:v>
                </c:pt>
                <c:pt idx="82">
                  <c:v>1.6329113924050624</c:v>
                </c:pt>
                <c:pt idx="83">
                  <c:v>1.6237006237006228</c:v>
                </c:pt>
                <c:pt idx="84">
                  <c:v>1.614754098360655</c:v>
                </c:pt>
                <c:pt idx="85">
                  <c:v>1.6060606060606053</c:v>
                </c:pt>
                <c:pt idx="86">
                  <c:v>1.5976095617529873</c:v>
                </c:pt>
                <c:pt idx="87">
                  <c:v>1.5893909626719049</c:v>
                </c:pt>
                <c:pt idx="88">
                  <c:v>1.5813953488372086</c:v>
                </c:pt>
                <c:pt idx="89">
                  <c:v>1.5736137667304009</c:v>
                </c:pt>
                <c:pt idx="90">
                  <c:v>1.566037735849056</c:v>
                </c:pt>
                <c:pt idx="91">
                  <c:v>1.5586592178770944</c:v>
                </c:pt>
                <c:pt idx="92">
                  <c:v>1.5514705882352935</c:v>
                </c:pt>
                <c:pt idx="93">
                  <c:v>1.5444646098003623</c:v>
                </c:pt>
                <c:pt idx="94">
                  <c:v>1.5376344086021501</c:v>
                </c:pt>
                <c:pt idx="95">
                  <c:v>1.5309734513274331</c:v>
                </c:pt>
                <c:pt idx="96">
                  <c:v>1.5244755244755239</c:v>
                </c:pt>
                <c:pt idx="97">
                  <c:v>1.5181347150259064</c:v>
                </c:pt>
                <c:pt idx="98">
                  <c:v>1.5119453924914672</c:v>
                </c:pt>
                <c:pt idx="99">
                  <c:v>1.5059021922428326</c:v>
                </c:pt>
                <c:pt idx="100">
                  <c:v>1.5</c:v>
                </c:pt>
              </c:numCache>
            </c:numRef>
          </c:val>
          <c:smooth val="0"/>
        </c:ser>
        <c:ser>
          <c:idx val="2"/>
          <c:order val="2"/>
          <c:tx>
            <c:v>20</c:v>
          </c:tx>
          <c:marker>
            <c:symbol val="none"/>
          </c:marker>
          <c:cat>
            <c:numRef>
              <c:f>Sheet3!$A$2:$A$102</c:f>
              <c:numCache>
                <c:formatCode>General</c:formatCode>
                <c:ptCount val="10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  <c:pt idx="64">
                  <c:v>64</c:v>
                </c:pt>
                <c:pt idx="65">
                  <c:v>65</c:v>
                </c:pt>
                <c:pt idx="66">
                  <c:v>66</c:v>
                </c:pt>
                <c:pt idx="67">
                  <c:v>67</c:v>
                </c:pt>
                <c:pt idx="68">
                  <c:v>68</c:v>
                </c:pt>
                <c:pt idx="69">
                  <c:v>69</c:v>
                </c:pt>
                <c:pt idx="70">
                  <c:v>70</c:v>
                </c:pt>
                <c:pt idx="71">
                  <c:v>71</c:v>
                </c:pt>
                <c:pt idx="72">
                  <c:v>72</c:v>
                </c:pt>
                <c:pt idx="73">
                  <c:v>73</c:v>
                </c:pt>
                <c:pt idx="74">
                  <c:v>74</c:v>
                </c:pt>
                <c:pt idx="75">
                  <c:v>75</c:v>
                </c:pt>
                <c:pt idx="76">
                  <c:v>76</c:v>
                </c:pt>
                <c:pt idx="77">
                  <c:v>77</c:v>
                </c:pt>
                <c:pt idx="78">
                  <c:v>78</c:v>
                </c:pt>
                <c:pt idx="79">
                  <c:v>79</c:v>
                </c:pt>
                <c:pt idx="80">
                  <c:v>80</c:v>
                </c:pt>
                <c:pt idx="81">
                  <c:v>81</c:v>
                </c:pt>
                <c:pt idx="82">
                  <c:v>82</c:v>
                </c:pt>
                <c:pt idx="83">
                  <c:v>83</c:v>
                </c:pt>
                <c:pt idx="84">
                  <c:v>84</c:v>
                </c:pt>
                <c:pt idx="85">
                  <c:v>85</c:v>
                </c:pt>
                <c:pt idx="86">
                  <c:v>86</c:v>
                </c:pt>
                <c:pt idx="87">
                  <c:v>87</c:v>
                </c:pt>
                <c:pt idx="88">
                  <c:v>88</c:v>
                </c:pt>
                <c:pt idx="89">
                  <c:v>89</c:v>
                </c:pt>
                <c:pt idx="90">
                  <c:v>90</c:v>
                </c:pt>
                <c:pt idx="91">
                  <c:v>91</c:v>
                </c:pt>
                <c:pt idx="92">
                  <c:v>92</c:v>
                </c:pt>
                <c:pt idx="93">
                  <c:v>93</c:v>
                </c:pt>
                <c:pt idx="94">
                  <c:v>94</c:v>
                </c:pt>
                <c:pt idx="95">
                  <c:v>95</c:v>
                </c:pt>
                <c:pt idx="96">
                  <c:v>96</c:v>
                </c:pt>
                <c:pt idx="97">
                  <c:v>97</c:v>
                </c:pt>
                <c:pt idx="98">
                  <c:v>98</c:v>
                </c:pt>
                <c:pt idx="99">
                  <c:v>99</c:v>
                </c:pt>
                <c:pt idx="100">
                  <c:v>100</c:v>
                </c:pt>
              </c:numCache>
            </c:numRef>
          </c:cat>
          <c:val>
            <c:numRef>
              <c:f>Sheet3!$E$2:$E$102</c:f>
              <c:numCache>
                <c:formatCode>General</c:formatCode>
                <c:ptCount val="101"/>
                <c:pt idx="29">
                  <c:v>101.00000000000088</c:v>
                </c:pt>
                <c:pt idx="30">
                  <c:v>31.000000000000071</c:v>
                </c:pt>
                <c:pt idx="31">
                  <c:v>18.647058823529431</c:v>
                </c:pt>
                <c:pt idx="32">
                  <c:v>13.500000000000025</c:v>
                </c:pt>
                <c:pt idx="33">
                  <c:v>10.677419354838724</c:v>
                </c:pt>
                <c:pt idx="34">
                  <c:v>8.8947368421052726</c:v>
                </c:pt>
                <c:pt idx="35">
                  <c:v>7.6666666666666758</c:v>
                </c:pt>
                <c:pt idx="36">
                  <c:v>6.7692307692307718</c:v>
                </c:pt>
                <c:pt idx="37">
                  <c:v>6.084745762711866</c:v>
                </c:pt>
                <c:pt idx="38">
                  <c:v>5.5454545454545503</c:v>
                </c:pt>
                <c:pt idx="39">
                  <c:v>5.1095890410958944</c:v>
                </c:pt>
                <c:pt idx="40">
                  <c:v>4.7500000000000036</c:v>
                </c:pt>
                <c:pt idx="41">
                  <c:v>4.4482758620689671</c:v>
                </c:pt>
                <c:pt idx="42">
                  <c:v>4.1914893617021294</c:v>
                </c:pt>
                <c:pt idx="43">
                  <c:v>3.9702970297029712</c:v>
                </c:pt>
                <c:pt idx="44">
                  <c:v>3.7777777777777786</c:v>
                </c:pt>
                <c:pt idx="45">
                  <c:v>3.6086956521739135</c:v>
                </c:pt>
                <c:pt idx="46">
                  <c:v>3.4590163934426235</c:v>
                </c:pt>
                <c:pt idx="47">
                  <c:v>3.3255813953488391</c:v>
                </c:pt>
                <c:pt idx="48">
                  <c:v>3.205882352941178</c:v>
                </c:pt>
                <c:pt idx="49">
                  <c:v>3.0979020979020992</c:v>
                </c:pt>
                <c:pt idx="50">
                  <c:v>3.0000000000000009</c:v>
                </c:pt>
                <c:pt idx="51">
                  <c:v>2.9108280254777079</c:v>
                </c:pt>
                <c:pt idx="52">
                  <c:v>2.8292682926829276</c:v>
                </c:pt>
                <c:pt idx="53">
                  <c:v>2.7543859649122813</c:v>
                </c:pt>
                <c:pt idx="54">
                  <c:v>2.6853932584269669</c:v>
                </c:pt>
                <c:pt idx="55">
                  <c:v>2.6216216216216224</c:v>
                </c:pt>
                <c:pt idx="56">
                  <c:v>2.5625000000000004</c:v>
                </c:pt>
                <c:pt idx="57">
                  <c:v>2.5075376884422118</c:v>
                </c:pt>
                <c:pt idx="58">
                  <c:v>2.4563106796116512</c:v>
                </c:pt>
                <c:pt idx="59">
                  <c:v>2.4084507042253529</c:v>
                </c:pt>
                <c:pt idx="60">
                  <c:v>2.3636363636363642</c:v>
                </c:pt>
                <c:pt idx="61">
                  <c:v>2.3215859030837014</c:v>
                </c:pt>
                <c:pt idx="62">
                  <c:v>2.2820512820512824</c:v>
                </c:pt>
                <c:pt idx="63">
                  <c:v>2.2448132780082997</c:v>
                </c:pt>
                <c:pt idx="64">
                  <c:v>2.2096774193548394</c:v>
                </c:pt>
                <c:pt idx="65">
                  <c:v>2.1764705882352948</c:v>
                </c:pt>
                <c:pt idx="66">
                  <c:v>2.1450381679389321</c:v>
                </c:pt>
                <c:pt idx="67">
                  <c:v>2.1152416356877328</c:v>
                </c:pt>
                <c:pt idx="68">
                  <c:v>2.0869565217391308</c:v>
                </c:pt>
                <c:pt idx="69">
                  <c:v>2.0600706713780923</c:v>
                </c:pt>
                <c:pt idx="70">
                  <c:v>2.0344827586206904</c:v>
                </c:pt>
                <c:pt idx="71">
                  <c:v>2.0101010101010104</c:v>
                </c:pt>
                <c:pt idx="72">
                  <c:v>1.9868421052631562</c:v>
                </c:pt>
                <c:pt idx="73">
                  <c:v>1.9646302250803842</c:v>
                </c:pt>
                <c:pt idx="74">
                  <c:v>1.9433962264150926</c:v>
                </c:pt>
                <c:pt idx="75">
                  <c:v>1.9230769230769214</c:v>
                </c:pt>
                <c:pt idx="76">
                  <c:v>1.9036144578313237</c:v>
                </c:pt>
                <c:pt idx="77">
                  <c:v>1.8849557522123879</c:v>
                </c:pt>
                <c:pt idx="78">
                  <c:v>1.8670520231213859</c:v>
                </c:pt>
                <c:pt idx="79">
                  <c:v>1.8498583569405085</c:v>
                </c:pt>
                <c:pt idx="80">
                  <c:v>1.8333333333333319</c:v>
                </c:pt>
                <c:pt idx="81">
                  <c:v>1.8174386920980914</c:v>
                </c:pt>
                <c:pt idx="82">
                  <c:v>1.8021390374331541</c:v>
                </c:pt>
                <c:pt idx="83">
                  <c:v>1.7874015748031487</c:v>
                </c:pt>
                <c:pt idx="84">
                  <c:v>1.7731958762886588</c:v>
                </c:pt>
                <c:pt idx="85">
                  <c:v>1.7594936708860749</c:v>
                </c:pt>
                <c:pt idx="86">
                  <c:v>1.746268656716417</c:v>
                </c:pt>
                <c:pt idx="87">
                  <c:v>1.7334963325183366</c:v>
                </c:pt>
                <c:pt idx="88">
                  <c:v>1.7211538461538454</c:v>
                </c:pt>
                <c:pt idx="89">
                  <c:v>1.7092198581560276</c:v>
                </c:pt>
                <c:pt idx="90">
                  <c:v>1.6976744186046504</c:v>
                </c:pt>
                <c:pt idx="91">
                  <c:v>1.6864988558352394</c:v>
                </c:pt>
                <c:pt idx="92">
                  <c:v>1.6756756756756748</c:v>
                </c:pt>
                <c:pt idx="93">
                  <c:v>1.665188470066518</c:v>
                </c:pt>
                <c:pt idx="94">
                  <c:v>1.6550218340611347</c:v>
                </c:pt>
                <c:pt idx="95">
                  <c:v>1.6451612903225801</c:v>
                </c:pt>
                <c:pt idx="96">
                  <c:v>1.6355932203389825</c:v>
                </c:pt>
                <c:pt idx="97">
                  <c:v>1.6263048016701456</c:v>
                </c:pt>
                <c:pt idx="98">
                  <c:v>1.6172839506172834</c:v>
                </c:pt>
                <c:pt idx="99">
                  <c:v>1.6085192697768758</c:v>
                </c:pt>
                <c:pt idx="100">
                  <c:v>1.6000000000000003</c:v>
                </c:pt>
              </c:numCache>
            </c:numRef>
          </c:val>
          <c:smooth val="0"/>
        </c:ser>
        <c:ser>
          <c:idx val="3"/>
          <c:order val="3"/>
          <c:tx>
            <c:v>30</c:v>
          </c:tx>
          <c:marker>
            <c:symbol val="none"/>
          </c:marker>
          <c:cat>
            <c:numRef>
              <c:f>Sheet3!$A$2:$A$102</c:f>
              <c:numCache>
                <c:formatCode>General</c:formatCode>
                <c:ptCount val="10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  <c:pt idx="64">
                  <c:v>64</c:v>
                </c:pt>
                <c:pt idx="65">
                  <c:v>65</c:v>
                </c:pt>
                <c:pt idx="66">
                  <c:v>66</c:v>
                </c:pt>
                <c:pt idx="67">
                  <c:v>67</c:v>
                </c:pt>
                <c:pt idx="68">
                  <c:v>68</c:v>
                </c:pt>
                <c:pt idx="69">
                  <c:v>69</c:v>
                </c:pt>
                <c:pt idx="70">
                  <c:v>70</c:v>
                </c:pt>
                <c:pt idx="71">
                  <c:v>71</c:v>
                </c:pt>
                <c:pt idx="72">
                  <c:v>72</c:v>
                </c:pt>
                <c:pt idx="73">
                  <c:v>73</c:v>
                </c:pt>
                <c:pt idx="74">
                  <c:v>74</c:v>
                </c:pt>
                <c:pt idx="75">
                  <c:v>75</c:v>
                </c:pt>
                <c:pt idx="76">
                  <c:v>76</c:v>
                </c:pt>
                <c:pt idx="77">
                  <c:v>77</c:v>
                </c:pt>
                <c:pt idx="78">
                  <c:v>78</c:v>
                </c:pt>
                <c:pt idx="79">
                  <c:v>79</c:v>
                </c:pt>
                <c:pt idx="80">
                  <c:v>80</c:v>
                </c:pt>
                <c:pt idx="81">
                  <c:v>81</c:v>
                </c:pt>
                <c:pt idx="82">
                  <c:v>82</c:v>
                </c:pt>
                <c:pt idx="83">
                  <c:v>83</c:v>
                </c:pt>
                <c:pt idx="84">
                  <c:v>84</c:v>
                </c:pt>
                <c:pt idx="85">
                  <c:v>85</c:v>
                </c:pt>
                <c:pt idx="86">
                  <c:v>86</c:v>
                </c:pt>
                <c:pt idx="87">
                  <c:v>87</c:v>
                </c:pt>
                <c:pt idx="88">
                  <c:v>88</c:v>
                </c:pt>
                <c:pt idx="89">
                  <c:v>89</c:v>
                </c:pt>
                <c:pt idx="90">
                  <c:v>90</c:v>
                </c:pt>
                <c:pt idx="91">
                  <c:v>91</c:v>
                </c:pt>
                <c:pt idx="92">
                  <c:v>92</c:v>
                </c:pt>
                <c:pt idx="93">
                  <c:v>93</c:v>
                </c:pt>
                <c:pt idx="94">
                  <c:v>94</c:v>
                </c:pt>
                <c:pt idx="95">
                  <c:v>95</c:v>
                </c:pt>
                <c:pt idx="96">
                  <c:v>96</c:v>
                </c:pt>
                <c:pt idx="97">
                  <c:v>97</c:v>
                </c:pt>
                <c:pt idx="98">
                  <c:v>98</c:v>
                </c:pt>
                <c:pt idx="99">
                  <c:v>99</c:v>
                </c:pt>
                <c:pt idx="100">
                  <c:v>100</c:v>
                </c:pt>
              </c:numCache>
            </c:numRef>
          </c:cat>
          <c:val>
            <c:numRef>
              <c:f>Sheet3!$F$2:$F$102</c:f>
              <c:numCache>
                <c:formatCode>General</c:formatCode>
                <c:ptCount val="101"/>
                <c:pt idx="43">
                  <c:v>300.99999999999966</c:v>
                </c:pt>
                <c:pt idx="44">
                  <c:v>38.499999999999957</c:v>
                </c:pt>
                <c:pt idx="45">
                  <c:v>20.999999999999979</c:v>
                </c:pt>
                <c:pt idx="46">
                  <c:v>14.636363636363621</c:v>
                </c:pt>
                <c:pt idx="47">
                  <c:v>11.344827586206907</c:v>
                </c:pt>
                <c:pt idx="48">
                  <c:v>9.3333333333333393</c:v>
                </c:pt>
                <c:pt idx="49">
                  <c:v>7.9767441860465143</c:v>
                </c:pt>
                <c:pt idx="50">
                  <c:v>7.0000000000000009</c:v>
                </c:pt>
                <c:pt idx="51">
                  <c:v>6.2631578947368425</c:v>
                </c:pt>
                <c:pt idx="52">
                  <c:v>5.6875</c:v>
                </c:pt>
                <c:pt idx="53">
                  <c:v>5.225352112676056</c:v>
                </c:pt>
                <c:pt idx="54">
                  <c:v>4.8461538461538449</c:v>
                </c:pt>
                <c:pt idx="55">
                  <c:v>4.5294117647058814</c:v>
                </c:pt>
                <c:pt idx="56">
                  <c:v>4.2608695652173907</c:v>
                </c:pt>
                <c:pt idx="57">
                  <c:v>4.0303030303030312</c:v>
                </c:pt>
                <c:pt idx="58">
                  <c:v>3.8301886792452833</c:v>
                </c:pt>
                <c:pt idx="59">
                  <c:v>3.6548672566371683</c:v>
                </c:pt>
                <c:pt idx="60">
                  <c:v>3.5</c:v>
                </c:pt>
                <c:pt idx="61">
                  <c:v>3.3622047244094486</c:v>
                </c:pt>
                <c:pt idx="62">
                  <c:v>3.2388059701492535</c:v>
                </c:pt>
                <c:pt idx="63">
                  <c:v>3.1276595744680855</c:v>
                </c:pt>
                <c:pt idx="64">
                  <c:v>3.0270270270270276</c:v>
                </c:pt>
                <c:pt idx="65">
                  <c:v>2.9354838709677424</c:v>
                </c:pt>
                <c:pt idx="66">
                  <c:v>2.8518518518518521</c:v>
                </c:pt>
                <c:pt idx="67">
                  <c:v>2.775147928994083</c:v>
                </c:pt>
                <c:pt idx="68">
                  <c:v>2.7045454545454546</c:v>
                </c:pt>
                <c:pt idx="69">
                  <c:v>2.6393442622950825</c:v>
                </c:pt>
                <c:pt idx="70">
                  <c:v>2.5789473684210531</c:v>
                </c:pt>
                <c:pt idx="71">
                  <c:v>2.5228426395939088</c:v>
                </c:pt>
                <c:pt idx="72">
                  <c:v>2.4705882352941129</c:v>
                </c:pt>
                <c:pt idx="73">
                  <c:v>2.4218009478672937</c:v>
                </c:pt>
                <c:pt idx="74">
                  <c:v>2.3761467889908214</c:v>
                </c:pt>
                <c:pt idx="75">
                  <c:v>2.333333333333329</c:v>
                </c:pt>
                <c:pt idx="76">
                  <c:v>2.2931034482758581</c:v>
                </c:pt>
                <c:pt idx="77">
                  <c:v>2.2552301255230089</c:v>
                </c:pt>
                <c:pt idx="78">
                  <c:v>2.2195121951219474</c:v>
                </c:pt>
                <c:pt idx="79">
                  <c:v>2.185770750988139</c:v>
                </c:pt>
                <c:pt idx="80">
                  <c:v>2.1538461538461506</c:v>
                </c:pt>
                <c:pt idx="81">
                  <c:v>2.1235955056179745</c:v>
                </c:pt>
                <c:pt idx="82">
                  <c:v>2.0948905109489027</c:v>
                </c:pt>
                <c:pt idx="83">
                  <c:v>2.0676156583629868</c:v>
                </c:pt>
                <c:pt idx="84">
                  <c:v>2.0416666666666643</c:v>
                </c:pt>
                <c:pt idx="85">
                  <c:v>2.0169491525423706</c:v>
                </c:pt>
                <c:pt idx="86">
                  <c:v>1.9933774834437064</c:v>
                </c:pt>
                <c:pt idx="87">
                  <c:v>1.9708737864077648</c:v>
                </c:pt>
                <c:pt idx="88">
                  <c:v>1.9493670886075929</c:v>
                </c:pt>
                <c:pt idx="89">
                  <c:v>1.9287925696594408</c:v>
                </c:pt>
                <c:pt idx="90">
                  <c:v>1.9090909090909072</c:v>
                </c:pt>
                <c:pt idx="91">
                  <c:v>1.8902077151335293</c:v>
                </c:pt>
                <c:pt idx="92">
                  <c:v>1.8720930232558122</c:v>
                </c:pt>
                <c:pt idx="93">
                  <c:v>1.854700854700853</c:v>
                </c:pt>
                <c:pt idx="94">
                  <c:v>1.837988826815641</c:v>
                </c:pt>
                <c:pt idx="95">
                  <c:v>1.8219178082191767</c:v>
                </c:pt>
                <c:pt idx="96">
                  <c:v>1.8064516129032244</c:v>
                </c:pt>
                <c:pt idx="97">
                  <c:v>1.7915567282321887</c:v>
                </c:pt>
                <c:pt idx="98">
                  <c:v>1.7772020725388589</c:v>
                </c:pt>
                <c:pt idx="99">
                  <c:v>1.763358778625953</c:v>
                </c:pt>
                <c:pt idx="100">
                  <c:v>1.75</c:v>
                </c:pt>
              </c:numCache>
            </c:numRef>
          </c:val>
          <c:smooth val="0"/>
        </c:ser>
        <c:ser>
          <c:idx val="4"/>
          <c:order val="4"/>
          <c:tx>
            <c:v>40</c:v>
          </c:tx>
          <c:marker>
            <c:symbol val="none"/>
          </c:marker>
          <c:cat>
            <c:numRef>
              <c:f>Sheet3!$A$2:$A$102</c:f>
              <c:numCache>
                <c:formatCode>General</c:formatCode>
                <c:ptCount val="10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  <c:pt idx="46">
                  <c:v>46</c:v>
                </c:pt>
                <c:pt idx="47">
                  <c:v>47</c:v>
                </c:pt>
                <c:pt idx="48">
                  <c:v>48</c:v>
                </c:pt>
                <c:pt idx="49">
                  <c:v>49</c:v>
                </c:pt>
                <c:pt idx="50">
                  <c:v>50</c:v>
                </c:pt>
                <c:pt idx="51">
                  <c:v>51</c:v>
                </c:pt>
                <c:pt idx="52">
                  <c:v>52</c:v>
                </c:pt>
                <c:pt idx="53">
                  <c:v>53</c:v>
                </c:pt>
                <c:pt idx="54">
                  <c:v>54</c:v>
                </c:pt>
                <c:pt idx="55">
                  <c:v>55</c:v>
                </c:pt>
                <c:pt idx="56">
                  <c:v>56</c:v>
                </c:pt>
                <c:pt idx="57">
                  <c:v>57</c:v>
                </c:pt>
                <c:pt idx="58">
                  <c:v>58</c:v>
                </c:pt>
                <c:pt idx="59">
                  <c:v>59</c:v>
                </c:pt>
                <c:pt idx="60">
                  <c:v>60</c:v>
                </c:pt>
                <c:pt idx="61">
                  <c:v>61</c:v>
                </c:pt>
                <c:pt idx="62">
                  <c:v>62</c:v>
                </c:pt>
                <c:pt idx="63">
                  <c:v>63</c:v>
                </c:pt>
                <c:pt idx="64">
                  <c:v>64</c:v>
                </c:pt>
                <c:pt idx="65">
                  <c:v>65</c:v>
                </c:pt>
                <c:pt idx="66">
                  <c:v>66</c:v>
                </c:pt>
                <c:pt idx="67">
                  <c:v>67</c:v>
                </c:pt>
                <c:pt idx="68">
                  <c:v>68</c:v>
                </c:pt>
                <c:pt idx="69">
                  <c:v>69</c:v>
                </c:pt>
                <c:pt idx="70">
                  <c:v>70</c:v>
                </c:pt>
                <c:pt idx="71">
                  <c:v>71</c:v>
                </c:pt>
                <c:pt idx="72">
                  <c:v>72</c:v>
                </c:pt>
                <c:pt idx="73">
                  <c:v>73</c:v>
                </c:pt>
                <c:pt idx="74">
                  <c:v>74</c:v>
                </c:pt>
                <c:pt idx="75">
                  <c:v>75</c:v>
                </c:pt>
                <c:pt idx="76">
                  <c:v>76</c:v>
                </c:pt>
                <c:pt idx="77">
                  <c:v>77</c:v>
                </c:pt>
                <c:pt idx="78">
                  <c:v>78</c:v>
                </c:pt>
                <c:pt idx="79">
                  <c:v>79</c:v>
                </c:pt>
                <c:pt idx="80">
                  <c:v>80</c:v>
                </c:pt>
                <c:pt idx="81">
                  <c:v>81</c:v>
                </c:pt>
                <c:pt idx="82">
                  <c:v>82</c:v>
                </c:pt>
                <c:pt idx="83">
                  <c:v>83</c:v>
                </c:pt>
                <c:pt idx="84">
                  <c:v>84</c:v>
                </c:pt>
                <c:pt idx="85">
                  <c:v>85</c:v>
                </c:pt>
                <c:pt idx="86">
                  <c:v>86</c:v>
                </c:pt>
                <c:pt idx="87">
                  <c:v>87</c:v>
                </c:pt>
                <c:pt idx="88">
                  <c:v>88</c:v>
                </c:pt>
                <c:pt idx="89">
                  <c:v>89</c:v>
                </c:pt>
                <c:pt idx="90">
                  <c:v>90</c:v>
                </c:pt>
                <c:pt idx="91">
                  <c:v>91</c:v>
                </c:pt>
                <c:pt idx="92">
                  <c:v>92</c:v>
                </c:pt>
                <c:pt idx="93">
                  <c:v>93</c:v>
                </c:pt>
                <c:pt idx="94">
                  <c:v>94</c:v>
                </c:pt>
                <c:pt idx="95">
                  <c:v>95</c:v>
                </c:pt>
                <c:pt idx="96">
                  <c:v>96</c:v>
                </c:pt>
                <c:pt idx="97">
                  <c:v>97</c:v>
                </c:pt>
                <c:pt idx="98">
                  <c:v>98</c:v>
                </c:pt>
                <c:pt idx="99">
                  <c:v>99</c:v>
                </c:pt>
                <c:pt idx="100">
                  <c:v>100</c:v>
                </c:pt>
              </c:numCache>
            </c:numRef>
          </c:cat>
          <c:val>
            <c:numRef>
              <c:f>Sheet3!$G$2:$G$102</c:f>
              <c:numCache>
                <c:formatCode>General</c:formatCode>
                <c:ptCount val="101"/>
                <c:pt idx="58">
                  <c:v>51.000000000000426</c:v>
                </c:pt>
                <c:pt idx="59">
                  <c:v>24.076923076923158</c:v>
                </c:pt>
                <c:pt idx="60">
                  <c:v>16.000000000000032</c:v>
                </c:pt>
                <c:pt idx="61">
                  <c:v>12.111111111111125</c:v>
                </c:pt>
                <c:pt idx="62">
                  <c:v>9.8235294117647136</c:v>
                </c:pt>
                <c:pt idx="63">
                  <c:v>8.3170731707317209</c:v>
                </c:pt>
                <c:pt idx="64">
                  <c:v>7.2500000000000098</c:v>
                </c:pt>
                <c:pt idx="65">
                  <c:v>6.4545454545454612</c:v>
                </c:pt>
                <c:pt idx="66">
                  <c:v>5.8387096774193603</c:v>
                </c:pt>
                <c:pt idx="67">
                  <c:v>5.3478260869565259</c:v>
                </c:pt>
                <c:pt idx="68">
                  <c:v>4.9473684210526345</c:v>
                </c:pt>
                <c:pt idx="69">
                  <c:v>4.6144578313253062</c:v>
                </c:pt>
                <c:pt idx="70">
                  <c:v>4.3333333333333375</c:v>
                </c:pt>
                <c:pt idx="71">
                  <c:v>4.0927835051546424</c:v>
                </c:pt>
                <c:pt idx="72">
                  <c:v>3.8846153846153673</c:v>
                </c:pt>
                <c:pt idx="73">
                  <c:v>3.7027027027026871</c:v>
                </c:pt>
                <c:pt idx="74">
                  <c:v>3.5423728813559183</c:v>
                </c:pt>
                <c:pt idx="75">
                  <c:v>3.3999999999999875</c:v>
                </c:pt>
                <c:pt idx="76">
                  <c:v>3.2727272727272614</c:v>
                </c:pt>
                <c:pt idx="77">
                  <c:v>3.1582733812949537</c:v>
                </c:pt>
                <c:pt idx="78">
                  <c:v>3.0547945205479357</c:v>
                </c:pt>
                <c:pt idx="79">
                  <c:v>2.9607843137254815</c:v>
                </c:pt>
                <c:pt idx="80">
                  <c:v>2.874999999999992</c:v>
                </c:pt>
                <c:pt idx="81">
                  <c:v>2.7964071856287354</c:v>
                </c:pt>
                <c:pt idx="82">
                  <c:v>2.7241379310344769</c:v>
                </c:pt>
                <c:pt idx="83">
                  <c:v>2.6574585635359065</c:v>
                </c:pt>
                <c:pt idx="84">
                  <c:v>2.5957446808510589</c:v>
                </c:pt>
                <c:pt idx="85">
                  <c:v>2.5384615384615339</c:v>
                </c:pt>
                <c:pt idx="86">
                  <c:v>2.4851485148514807</c:v>
                </c:pt>
                <c:pt idx="87">
                  <c:v>2.4354066985645892</c:v>
                </c:pt>
                <c:pt idx="88">
                  <c:v>2.3888888888888848</c:v>
                </c:pt>
                <c:pt idx="89">
                  <c:v>2.3452914798206241</c:v>
                </c:pt>
                <c:pt idx="90">
                  <c:v>2.304347826086953</c:v>
                </c:pt>
                <c:pt idx="91">
                  <c:v>2.2658227848101231</c:v>
                </c:pt>
                <c:pt idx="92">
                  <c:v>2.2295081967213082</c:v>
                </c:pt>
                <c:pt idx="93">
                  <c:v>2.1952191235059733</c:v>
                </c:pt>
                <c:pt idx="94">
                  <c:v>2.1627906976744162</c:v>
                </c:pt>
                <c:pt idx="95">
                  <c:v>2.1320754716981107</c:v>
                </c:pt>
                <c:pt idx="96">
                  <c:v>2.1029411764705861</c:v>
                </c:pt>
                <c:pt idx="97">
                  <c:v>2.0752688172042988</c:v>
                </c:pt>
                <c:pt idx="98">
                  <c:v>2.048951048951047</c:v>
                </c:pt>
                <c:pt idx="99">
                  <c:v>2.0238907849829331</c:v>
                </c:pt>
                <c:pt idx="100">
                  <c:v>2.0000000000000004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7755008"/>
        <c:axId val="68232320"/>
      </c:lineChart>
      <c:catAx>
        <c:axId val="6775500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Prevalance of Confounder in Drug-Treated Group (%)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68232320"/>
        <c:crosses val="autoZero"/>
        <c:auto val="1"/>
        <c:lblAlgn val="ctr"/>
        <c:lblOffset val="100"/>
        <c:tickLblSkip val="10"/>
        <c:tickMarkSkip val="10"/>
        <c:noMultiLvlLbl val="0"/>
      </c:catAx>
      <c:valAx>
        <c:axId val="68232320"/>
        <c:scaling>
          <c:orientation val="minMax"/>
          <c:max val="5"/>
          <c:min val="1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Hazard Ratio for Primary Outcome Associated with the Confounder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67755008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0.8305555555555556"/>
          <c:y val="0.25187687902648531"/>
          <c:w val="0.1111111111111111"/>
          <c:h val="0.34271057026962537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ko-KR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0.72708</cdr:x>
      <cdr:y>0.01818</cdr:y>
    </cdr:from>
    <cdr:to>
      <cdr:x>0.99583</cdr:x>
      <cdr:y>0.26061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24225" y="57150"/>
          <a:ext cx="1228725" cy="7620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r>
            <a:rPr lang="en-US" sz="1000" b="1">
              <a:latin typeface="Times New Roman" panose="02020603050405020304" pitchFamily="18" charset="0"/>
              <a:cs typeface="Times New Roman" panose="02020603050405020304" pitchFamily="18" charset="0"/>
            </a:rPr>
            <a:t>Prevalence of Confounder in Ablated Patients (%)</a:t>
          </a: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9123EC-FD1E-42D2-BA51-2447E3074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6261</Words>
  <Characters>35691</Characters>
  <Application>Microsoft Office Word</Application>
  <DocSecurity>0</DocSecurity>
  <Lines>297</Lines>
  <Paragraphs>83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Mayo Clinic</Company>
  <LinksUpToDate>false</LinksUpToDate>
  <CharactersWithSpaces>41869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Xiaoxi  Yao</dc:creator>
  <cp:lastModifiedBy>cha</cp:lastModifiedBy>
  <cp:revision>2</cp:revision>
  <cp:lastPrinted>2018-04-03T14:25:00Z</cp:lastPrinted>
  <dcterms:created xsi:type="dcterms:W3CDTF">2020-07-20T08:44:00Z</dcterms:created>
  <dcterms:modified xsi:type="dcterms:W3CDTF">2020-07-20T08:44:00Z</dcterms:modified>
</cp:coreProperties>
</file>